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D8" w:rsidRDefault="00F515D8" w:rsidP="002335A1">
      <w:pPr>
        <w:spacing w:after="120" w:line="240" w:lineRule="auto"/>
        <w:ind w:left="709" w:hanging="709"/>
        <w:jc w:val="center"/>
        <w:outlineLvl w:val="1"/>
        <w:rPr>
          <w:rFonts w:ascii="Arial" w:eastAsia="Times New Roman" w:hAnsi="Arial" w:cs="Arial"/>
          <w:b/>
          <w:color w:val="333333"/>
          <w:sz w:val="40"/>
          <w:szCs w:val="40"/>
          <w:lang w:eastAsia="en-GB"/>
        </w:rPr>
      </w:pPr>
    </w:p>
    <w:p w:rsidR="00F515D8" w:rsidRDefault="00B95604" w:rsidP="002335A1">
      <w:pPr>
        <w:spacing w:after="120" w:line="240" w:lineRule="auto"/>
        <w:ind w:left="709" w:hanging="709"/>
        <w:jc w:val="center"/>
        <w:outlineLvl w:val="1"/>
        <w:rPr>
          <w:rFonts w:ascii="Arial" w:eastAsia="Times New Roman" w:hAnsi="Arial" w:cs="Arial"/>
          <w:b/>
          <w:color w:val="333333"/>
          <w:sz w:val="40"/>
          <w:szCs w:val="40"/>
          <w:lang w:eastAsia="en-GB"/>
        </w:rPr>
      </w:pPr>
      <w:r>
        <w:rPr>
          <w:rFonts w:ascii="Arial" w:eastAsia="Times New Roman" w:hAnsi="Arial" w:cs="Arial"/>
          <w:b/>
          <w:color w:val="333333"/>
          <w:sz w:val="40"/>
          <w:szCs w:val="40"/>
          <w:lang w:eastAsia="en-GB"/>
        </w:rPr>
        <w:t xml:space="preserve">Humber, Ford and Stoke Prior </w:t>
      </w:r>
      <w:r w:rsidR="00F515D8" w:rsidRPr="00F515D8">
        <w:rPr>
          <w:rFonts w:ascii="Arial" w:eastAsia="Times New Roman" w:hAnsi="Arial" w:cs="Arial"/>
          <w:b/>
          <w:color w:val="333333"/>
          <w:sz w:val="40"/>
          <w:szCs w:val="40"/>
          <w:lang w:eastAsia="en-GB"/>
        </w:rPr>
        <w:t xml:space="preserve">Neighbourhood Development Plan </w:t>
      </w:r>
    </w:p>
    <w:p w:rsidR="00F515D8" w:rsidRDefault="00F515D8" w:rsidP="002335A1">
      <w:pPr>
        <w:spacing w:after="120" w:line="240" w:lineRule="auto"/>
        <w:ind w:left="709" w:hanging="709"/>
        <w:jc w:val="center"/>
        <w:outlineLvl w:val="1"/>
        <w:rPr>
          <w:rFonts w:ascii="Arial" w:eastAsia="Times New Roman" w:hAnsi="Arial" w:cs="Arial"/>
          <w:b/>
          <w:color w:val="333333"/>
          <w:sz w:val="40"/>
          <w:szCs w:val="40"/>
          <w:lang w:eastAsia="en-GB"/>
        </w:rPr>
      </w:pPr>
    </w:p>
    <w:p w:rsidR="00B95604" w:rsidRDefault="002335A1" w:rsidP="002335A1">
      <w:pPr>
        <w:spacing w:after="120" w:line="240" w:lineRule="auto"/>
        <w:ind w:left="709" w:hanging="709"/>
        <w:jc w:val="center"/>
        <w:outlineLvl w:val="1"/>
        <w:rPr>
          <w:rFonts w:ascii="Arial" w:eastAsia="Times New Roman" w:hAnsi="Arial" w:cs="Arial"/>
          <w:b/>
          <w:color w:val="333333"/>
          <w:sz w:val="40"/>
          <w:szCs w:val="40"/>
          <w:lang w:eastAsia="en-GB"/>
        </w:rPr>
      </w:pPr>
      <w:r>
        <w:rPr>
          <w:rFonts w:ascii="Arial" w:eastAsia="Times New Roman" w:hAnsi="Arial" w:cs="Arial"/>
          <w:b/>
          <w:color w:val="333333"/>
          <w:sz w:val="40"/>
          <w:szCs w:val="40"/>
          <w:lang w:eastAsia="en-GB"/>
        </w:rPr>
        <w:t>Appendix F</w:t>
      </w:r>
    </w:p>
    <w:p w:rsidR="00B95604" w:rsidRDefault="00B95604" w:rsidP="002335A1">
      <w:pPr>
        <w:spacing w:after="120" w:line="240" w:lineRule="auto"/>
        <w:ind w:left="709" w:hanging="709"/>
        <w:jc w:val="center"/>
        <w:outlineLvl w:val="1"/>
        <w:rPr>
          <w:rFonts w:ascii="Arial" w:eastAsia="Times New Roman" w:hAnsi="Arial" w:cs="Arial"/>
          <w:b/>
          <w:color w:val="333333"/>
          <w:sz w:val="40"/>
          <w:szCs w:val="40"/>
          <w:lang w:eastAsia="en-GB"/>
        </w:rPr>
      </w:pPr>
    </w:p>
    <w:p w:rsidR="00F515D8" w:rsidRDefault="00F515D8" w:rsidP="002335A1">
      <w:pPr>
        <w:spacing w:after="120" w:line="240" w:lineRule="auto"/>
        <w:ind w:left="709" w:hanging="709"/>
        <w:jc w:val="center"/>
        <w:outlineLvl w:val="1"/>
        <w:rPr>
          <w:rFonts w:ascii="Arial" w:eastAsia="Times New Roman" w:hAnsi="Arial" w:cs="Arial"/>
          <w:b/>
          <w:color w:val="333333"/>
          <w:sz w:val="56"/>
          <w:szCs w:val="56"/>
          <w:lang w:eastAsia="en-GB"/>
        </w:rPr>
      </w:pPr>
    </w:p>
    <w:p w:rsidR="002335A1" w:rsidRDefault="00F515D8" w:rsidP="002335A1">
      <w:pPr>
        <w:spacing w:after="120" w:line="240" w:lineRule="auto"/>
        <w:ind w:left="709" w:hanging="709"/>
        <w:jc w:val="center"/>
        <w:outlineLvl w:val="1"/>
        <w:rPr>
          <w:rFonts w:ascii="Arial" w:eastAsia="Times New Roman" w:hAnsi="Arial" w:cs="Arial"/>
          <w:b/>
          <w:color w:val="333333"/>
          <w:sz w:val="56"/>
          <w:szCs w:val="56"/>
          <w:lang w:eastAsia="en-GB"/>
        </w:rPr>
      </w:pPr>
      <w:r w:rsidRPr="00F515D8">
        <w:rPr>
          <w:rFonts w:ascii="Arial" w:eastAsia="Times New Roman" w:hAnsi="Arial" w:cs="Arial"/>
          <w:b/>
          <w:color w:val="333333"/>
          <w:sz w:val="56"/>
          <w:szCs w:val="56"/>
          <w:lang w:eastAsia="en-GB"/>
        </w:rPr>
        <w:t xml:space="preserve">Housing </w:t>
      </w:r>
      <w:r w:rsidR="00E804D5">
        <w:rPr>
          <w:rFonts w:ascii="Arial" w:eastAsia="Times New Roman" w:hAnsi="Arial" w:cs="Arial"/>
          <w:b/>
          <w:color w:val="333333"/>
          <w:sz w:val="56"/>
          <w:szCs w:val="56"/>
          <w:lang w:eastAsia="en-GB"/>
        </w:rPr>
        <w:t xml:space="preserve">Land </w:t>
      </w:r>
      <w:r w:rsidRPr="00F515D8">
        <w:rPr>
          <w:rFonts w:ascii="Arial" w:eastAsia="Times New Roman" w:hAnsi="Arial" w:cs="Arial"/>
          <w:b/>
          <w:color w:val="333333"/>
          <w:sz w:val="56"/>
          <w:szCs w:val="56"/>
          <w:lang w:eastAsia="en-GB"/>
        </w:rPr>
        <w:t xml:space="preserve">Assessment </w:t>
      </w:r>
    </w:p>
    <w:p w:rsidR="00F515D8" w:rsidRDefault="00F515D8" w:rsidP="002335A1">
      <w:pPr>
        <w:spacing w:after="120" w:line="240" w:lineRule="auto"/>
        <w:ind w:left="709" w:hanging="709"/>
        <w:jc w:val="center"/>
        <w:outlineLvl w:val="1"/>
        <w:rPr>
          <w:rFonts w:ascii="Arial" w:eastAsia="Times New Roman" w:hAnsi="Arial" w:cs="Arial"/>
          <w:b/>
          <w:color w:val="333333"/>
          <w:sz w:val="56"/>
          <w:szCs w:val="56"/>
          <w:lang w:eastAsia="en-GB"/>
        </w:rPr>
      </w:pPr>
      <w:r w:rsidRPr="00F515D8">
        <w:rPr>
          <w:rFonts w:ascii="Arial" w:eastAsia="Times New Roman" w:hAnsi="Arial" w:cs="Arial"/>
          <w:b/>
          <w:color w:val="333333"/>
          <w:sz w:val="56"/>
          <w:szCs w:val="56"/>
          <w:lang w:eastAsia="en-GB"/>
        </w:rPr>
        <w:t>2011-2031</w:t>
      </w:r>
    </w:p>
    <w:p w:rsidR="004D6A25" w:rsidRDefault="004D6A25" w:rsidP="002335A1">
      <w:pPr>
        <w:spacing w:after="120" w:line="240" w:lineRule="auto"/>
        <w:ind w:left="709" w:hanging="709"/>
        <w:outlineLvl w:val="1"/>
        <w:rPr>
          <w:rFonts w:ascii="Arial" w:eastAsia="Times New Roman" w:hAnsi="Arial" w:cs="Arial"/>
          <w:b/>
          <w:color w:val="333333"/>
          <w:sz w:val="44"/>
          <w:szCs w:val="44"/>
          <w:lang w:eastAsia="en-GB"/>
        </w:rPr>
      </w:pPr>
    </w:p>
    <w:p w:rsidR="00F515D8" w:rsidRDefault="002335A1" w:rsidP="002335A1">
      <w:pPr>
        <w:spacing w:after="120" w:line="240" w:lineRule="auto"/>
        <w:ind w:left="709" w:hanging="709"/>
        <w:jc w:val="center"/>
        <w:outlineLvl w:val="1"/>
        <w:rPr>
          <w:rFonts w:ascii="Arial" w:eastAsia="Times New Roman" w:hAnsi="Arial" w:cs="Arial"/>
          <w:b/>
          <w:color w:val="333333"/>
          <w:sz w:val="44"/>
          <w:szCs w:val="44"/>
          <w:lang w:eastAsia="en-GB"/>
        </w:rPr>
      </w:pPr>
      <w:r>
        <w:rPr>
          <w:rFonts w:ascii="Arial" w:eastAsia="Times New Roman" w:hAnsi="Arial" w:cs="Arial"/>
          <w:b/>
          <w:color w:val="333333"/>
          <w:sz w:val="44"/>
          <w:szCs w:val="44"/>
          <w:lang w:eastAsia="en-GB"/>
        </w:rPr>
        <w:t>August</w:t>
      </w:r>
      <w:r w:rsidR="00F515D8">
        <w:rPr>
          <w:rFonts w:ascii="Arial" w:eastAsia="Times New Roman" w:hAnsi="Arial" w:cs="Arial"/>
          <w:b/>
          <w:color w:val="333333"/>
          <w:sz w:val="44"/>
          <w:szCs w:val="44"/>
          <w:lang w:eastAsia="en-GB"/>
        </w:rPr>
        <w:t xml:space="preserve"> 2015</w:t>
      </w:r>
    </w:p>
    <w:p w:rsidR="002335A1" w:rsidRDefault="002335A1" w:rsidP="002335A1">
      <w:pPr>
        <w:spacing w:after="120" w:line="240" w:lineRule="auto"/>
        <w:ind w:left="709" w:hanging="709"/>
        <w:jc w:val="center"/>
        <w:outlineLvl w:val="1"/>
        <w:rPr>
          <w:rFonts w:ascii="Arial" w:eastAsia="Times New Roman" w:hAnsi="Arial" w:cs="Arial"/>
          <w:b/>
          <w:color w:val="333333"/>
          <w:sz w:val="44"/>
          <w:szCs w:val="44"/>
          <w:lang w:eastAsia="en-GB"/>
        </w:rPr>
      </w:pPr>
    </w:p>
    <w:p w:rsidR="002335A1" w:rsidRDefault="002335A1" w:rsidP="002335A1">
      <w:pPr>
        <w:spacing w:after="120" w:line="240" w:lineRule="auto"/>
        <w:ind w:left="709" w:hanging="709"/>
        <w:jc w:val="center"/>
        <w:outlineLvl w:val="1"/>
        <w:rPr>
          <w:rFonts w:ascii="Arial" w:eastAsia="Times New Roman" w:hAnsi="Arial" w:cs="Arial"/>
          <w:b/>
          <w:color w:val="333333"/>
          <w:sz w:val="44"/>
          <w:szCs w:val="44"/>
          <w:lang w:eastAsia="en-GB"/>
        </w:rPr>
      </w:pPr>
    </w:p>
    <w:p w:rsidR="00F515D8" w:rsidRDefault="007835B4" w:rsidP="002335A1">
      <w:pPr>
        <w:spacing w:after="120" w:line="240" w:lineRule="auto"/>
        <w:ind w:left="709" w:hanging="709"/>
        <w:outlineLvl w:val="1"/>
        <w:rPr>
          <w:rFonts w:ascii="Arial" w:eastAsia="Times New Roman" w:hAnsi="Arial" w:cs="Arial"/>
          <w:b/>
          <w:color w:val="333333"/>
          <w:sz w:val="44"/>
          <w:szCs w:val="44"/>
          <w:lang w:eastAsia="en-GB"/>
        </w:rPr>
      </w:pPr>
      <w:r>
        <w:rPr>
          <w:rFonts w:ascii="Arial" w:eastAsia="Times New Roman" w:hAnsi="Arial" w:cs="Arial"/>
          <w:b/>
          <w:noProof/>
          <w:color w:val="333333"/>
          <w:sz w:val="44"/>
          <w:szCs w:val="44"/>
          <w:lang w:eastAsia="en-GB"/>
        </w:rPr>
        <w:drawing>
          <wp:inline distT="0" distB="0" distL="0" distR="0" wp14:anchorId="63791380" wp14:editId="36EE0EE3">
            <wp:extent cx="2838450" cy="2600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600325"/>
                    </a:xfrm>
                    <a:prstGeom prst="rect">
                      <a:avLst/>
                    </a:prstGeom>
                    <a:noFill/>
                    <a:ln>
                      <a:noFill/>
                    </a:ln>
                  </pic:spPr>
                </pic:pic>
              </a:graphicData>
            </a:graphic>
          </wp:inline>
        </w:drawing>
      </w:r>
    </w:p>
    <w:p w:rsidR="004D6A25" w:rsidRPr="00F515D8" w:rsidRDefault="004D6A25" w:rsidP="002335A1">
      <w:pPr>
        <w:autoSpaceDE w:val="0"/>
        <w:autoSpaceDN w:val="0"/>
        <w:adjustRightInd w:val="0"/>
        <w:spacing w:after="120" w:line="240" w:lineRule="auto"/>
        <w:ind w:left="709" w:hanging="709"/>
        <w:rPr>
          <w:rFonts w:ascii="Microsoft Sans Serif" w:hAnsi="Microsoft Sans Serif" w:cs="Microsoft Sans Serif"/>
          <w:color w:val="7E7E7E"/>
        </w:rPr>
      </w:pPr>
      <w:r w:rsidRPr="00F515D8">
        <w:rPr>
          <w:rFonts w:ascii="Microsoft Sans Serif" w:hAnsi="Microsoft Sans Serif" w:cs="Microsoft Sans Serif"/>
          <w:color w:val="7E7E7E"/>
        </w:rPr>
        <w:t>Data Orchard</w:t>
      </w:r>
      <w:r>
        <w:rPr>
          <w:rFonts w:ascii="Microsoft Sans Serif" w:hAnsi="Microsoft Sans Serif" w:cs="Microsoft Sans Serif"/>
          <w:color w:val="7E7E7E"/>
        </w:rPr>
        <w:t xml:space="preserve">, </w:t>
      </w:r>
      <w:r w:rsidRPr="00F515D8">
        <w:rPr>
          <w:rFonts w:ascii="Microsoft Sans Serif" w:hAnsi="Microsoft Sans Serif" w:cs="Microsoft Sans Serif"/>
          <w:color w:val="7E7E7E"/>
        </w:rPr>
        <w:t>Church</w:t>
      </w:r>
      <w:r>
        <w:rPr>
          <w:rFonts w:ascii="Microsoft Sans Serif" w:hAnsi="Microsoft Sans Serif" w:cs="Microsoft Sans Serif"/>
          <w:color w:val="7E7E7E"/>
        </w:rPr>
        <w:t xml:space="preserve"> H</w:t>
      </w:r>
      <w:r w:rsidRPr="00F515D8">
        <w:rPr>
          <w:rFonts w:ascii="Microsoft Sans Serif" w:hAnsi="Microsoft Sans Serif" w:cs="Microsoft Sans Serif"/>
          <w:color w:val="7E7E7E"/>
        </w:rPr>
        <w:t>ouse</w:t>
      </w:r>
      <w:r>
        <w:rPr>
          <w:rFonts w:ascii="Microsoft Sans Serif" w:hAnsi="Microsoft Sans Serif" w:cs="Microsoft Sans Serif"/>
          <w:color w:val="7E7E7E"/>
        </w:rPr>
        <w:t xml:space="preserve">, </w:t>
      </w:r>
      <w:r w:rsidRPr="00F515D8">
        <w:rPr>
          <w:rFonts w:ascii="Microsoft Sans Serif" w:hAnsi="Microsoft Sans Serif" w:cs="Microsoft Sans Serif"/>
          <w:color w:val="7E7E7E"/>
        </w:rPr>
        <w:t>Allensmore</w:t>
      </w:r>
      <w:r>
        <w:rPr>
          <w:rFonts w:ascii="Microsoft Sans Serif" w:hAnsi="Microsoft Sans Serif" w:cs="Microsoft Sans Serif"/>
          <w:color w:val="7E7E7E"/>
        </w:rPr>
        <w:t xml:space="preserve">, </w:t>
      </w:r>
      <w:r w:rsidRPr="00F515D8">
        <w:rPr>
          <w:rFonts w:ascii="Microsoft Sans Serif" w:hAnsi="Microsoft Sans Serif" w:cs="Microsoft Sans Serif"/>
          <w:color w:val="7E7E7E"/>
        </w:rPr>
        <w:t xml:space="preserve">Hereford HR2 9AG </w:t>
      </w:r>
    </w:p>
    <w:tbl>
      <w:tblPr>
        <w:tblW w:w="0" w:type="auto"/>
        <w:tblBorders>
          <w:top w:val="nil"/>
          <w:left w:val="nil"/>
          <w:bottom w:val="nil"/>
          <w:right w:val="nil"/>
        </w:tblBorders>
        <w:tblLayout w:type="fixed"/>
        <w:tblLook w:val="0000" w:firstRow="0" w:lastRow="0" w:firstColumn="0" w:lastColumn="0" w:noHBand="0" w:noVBand="0"/>
      </w:tblPr>
      <w:tblGrid>
        <w:gridCol w:w="2631"/>
      </w:tblGrid>
      <w:tr w:rsidR="00F515D8" w:rsidRPr="00F515D8" w:rsidTr="00F515D8">
        <w:trPr>
          <w:trHeight w:val="718"/>
        </w:trPr>
        <w:tc>
          <w:tcPr>
            <w:tcW w:w="2631" w:type="dxa"/>
          </w:tcPr>
          <w:p w:rsidR="00F515D8" w:rsidRPr="00F515D8" w:rsidRDefault="004D6A25" w:rsidP="002335A1">
            <w:pPr>
              <w:autoSpaceDE w:val="0"/>
              <w:autoSpaceDN w:val="0"/>
              <w:adjustRightInd w:val="0"/>
              <w:spacing w:after="120" w:line="240" w:lineRule="auto"/>
              <w:ind w:left="709" w:hanging="709"/>
              <w:rPr>
                <w:rFonts w:ascii="Microsoft Sans Serif" w:hAnsi="Microsoft Sans Serif" w:cs="Microsoft Sans Serif"/>
                <w:color w:val="7E7E7E"/>
                <w:sz w:val="16"/>
                <w:szCs w:val="16"/>
              </w:rPr>
            </w:pPr>
            <w:r w:rsidRPr="00F515D8">
              <w:rPr>
                <w:rFonts w:ascii="Microsoft Sans Serif" w:hAnsi="Microsoft Sans Serif" w:cs="Microsoft Sans Serif"/>
                <w:color w:val="7E7E7E"/>
              </w:rPr>
              <w:t>Company no. 8674626</w:t>
            </w:r>
          </w:p>
        </w:tc>
      </w:tr>
    </w:tbl>
    <w:p w:rsidR="002335A1" w:rsidRDefault="002335A1" w:rsidP="002335A1">
      <w:pPr>
        <w:spacing w:after="120" w:line="240" w:lineRule="auto"/>
        <w:ind w:left="709" w:hanging="709"/>
        <w:jc w:val="center"/>
        <w:outlineLvl w:val="1"/>
        <w:rPr>
          <w:rFonts w:ascii="Arial" w:eastAsia="Times New Roman" w:hAnsi="Arial" w:cs="Arial"/>
          <w:b/>
          <w:color w:val="333333"/>
          <w:sz w:val="32"/>
          <w:szCs w:val="32"/>
          <w:lang w:eastAsia="en-GB"/>
        </w:rPr>
      </w:pPr>
    </w:p>
    <w:p w:rsidR="00B95604" w:rsidRDefault="00B95604" w:rsidP="002335A1">
      <w:pPr>
        <w:spacing w:after="120" w:line="240" w:lineRule="auto"/>
        <w:ind w:left="709" w:hanging="709"/>
        <w:jc w:val="center"/>
        <w:outlineLvl w:val="1"/>
        <w:rPr>
          <w:rFonts w:ascii="Arial" w:eastAsia="Times New Roman" w:hAnsi="Arial" w:cs="Arial"/>
          <w:b/>
          <w:color w:val="333333"/>
          <w:sz w:val="32"/>
          <w:szCs w:val="32"/>
          <w:lang w:eastAsia="en-GB"/>
        </w:rPr>
      </w:pPr>
      <w:r>
        <w:rPr>
          <w:rFonts w:ascii="Arial" w:eastAsia="Times New Roman" w:hAnsi="Arial" w:cs="Arial"/>
          <w:b/>
          <w:color w:val="333333"/>
          <w:sz w:val="32"/>
          <w:szCs w:val="32"/>
          <w:lang w:eastAsia="en-GB"/>
        </w:rPr>
        <w:lastRenderedPageBreak/>
        <w:t xml:space="preserve">Humber, Ford and Stoke Prior </w:t>
      </w:r>
      <w:r w:rsidR="008F571B" w:rsidRPr="00E804D5">
        <w:rPr>
          <w:rFonts w:ascii="Arial" w:eastAsia="Times New Roman" w:hAnsi="Arial" w:cs="Arial"/>
          <w:b/>
          <w:color w:val="333333"/>
          <w:sz w:val="32"/>
          <w:szCs w:val="32"/>
          <w:lang w:eastAsia="en-GB"/>
        </w:rPr>
        <w:t>Neighbourhood Development Plan</w:t>
      </w:r>
      <w:r>
        <w:rPr>
          <w:rFonts w:ascii="Arial" w:eastAsia="Times New Roman" w:hAnsi="Arial" w:cs="Arial"/>
          <w:b/>
          <w:color w:val="333333"/>
          <w:sz w:val="32"/>
          <w:szCs w:val="32"/>
          <w:lang w:eastAsia="en-GB"/>
        </w:rPr>
        <w:t xml:space="preserve"> </w:t>
      </w:r>
    </w:p>
    <w:p w:rsidR="008F571B" w:rsidRDefault="008F571B" w:rsidP="002335A1">
      <w:pPr>
        <w:spacing w:after="120" w:line="240" w:lineRule="auto"/>
        <w:ind w:left="709" w:hanging="709"/>
        <w:jc w:val="center"/>
        <w:outlineLvl w:val="1"/>
        <w:rPr>
          <w:rFonts w:ascii="Arial" w:eastAsia="Times New Roman" w:hAnsi="Arial" w:cs="Arial"/>
          <w:b/>
          <w:color w:val="333333"/>
          <w:sz w:val="32"/>
          <w:szCs w:val="32"/>
          <w:lang w:eastAsia="en-GB"/>
        </w:rPr>
      </w:pPr>
      <w:r w:rsidRPr="00E804D5">
        <w:rPr>
          <w:rFonts w:ascii="Arial" w:eastAsia="Times New Roman" w:hAnsi="Arial" w:cs="Arial"/>
          <w:b/>
          <w:color w:val="333333"/>
          <w:sz w:val="32"/>
          <w:szCs w:val="32"/>
          <w:lang w:eastAsia="en-GB"/>
        </w:rPr>
        <w:t xml:space="preserve">Housing </w:t>
      </w:r>
      <w:r w:rsidR="00E804D5" w:rsidRPr="00E804D5">
        <w:rPr>
          <w:rFonts w:ascii="Arial" w:eastAsia="Times New Roman" w:hAnsi="Arial" w:cs="Arial"/>
          <w:b/>
          <w:color w:val="333333"/>
          <w:sz w:val="32"/>
          <w:szCs w:val="32"/>
          <w:lang w:eastAsia="en-GB"/>
        </w:rPr>
        <w:t xml:space="preserve">Land </w:t>
      </w:r>
      <w:r w:rsidR="00E842BD" w:rsidRPr="00E804D5">
        <w:rPr>
          <w:rFonts w:ascii="Arial" w:eastAsia="Times New Roman" w:hAnsi="Arial" w:cs="Arial"/>
          <w:b/>
          <w:color w:val="333333"/>
          <w:sz w:val="32"/>
          <w:szCs w:val="32"/>
          <w:lang w:eastAsia="en-GB"/>
        </w:rPr>
        <w:t>Assessment</w:t>
      </w:r>
      <w:r w:rsidR="00D45240" w:rsidRPr="00E804D5">
        <w:rPr>
          <w:rFonts w:ascii="Arial" w:eastAsia="Times New Roman" w:hAnsi="Arial" w:cs="Arial"/>
          <w:b/>
          <w:color w:val="333333"/>
          <w:sz w:val="32"/>
          <w:szCs w:val="32"/>
          <w:lang w:eastAsia="en-GB"/>
        </w:rPr>
        <w:t xml:space="preserve"> 2011-2031</w:t>
      </w:r>
    </w:p>
    <w:p w:rsidR="002335A1" w:rsidRDefault="002335A1" w:rsidP="002335A1">
      <w:pPr>
        <w:spacing w:after="120" w:line="240" w:lineRule="auto"/>
        <w:ind w:left="709" w:hanging="709"/>
        <w:jc w:val="center"/>
        <w:outlineLvl w:val="1"/>
        <w:rPr>
          <w:rFonts w:ascii="Arial" w:eastAsia="Times New Roman" w:hAnsi="Arial" w:cs="Arial"/>
          <w:b/>
          <w:color w:val="333333"/>
          <w:sz w:val="32"/>
          <w:szCs w:val="32"/>
          <w:lang w:eastAsia="en-GB"/>
        </w:rPr>
      </w:pPr>
    </w:p>
    <w:p w:rsidR="008F571B" w:rsidRDefault="008F571B" w:rsidP="002335A1">
      <w:pPr>
        <w:pStyle w:val="ListParagraph"/>
        <w:numPr>
          <w:ilvl w:val="0"/>
          <w:numId w:val="1"/>
        </w:numPr>
        <w:spacing w:after="120" w:line="240" w:lineRule="auto"/>
        <w:ind w:left="709" w:hanging="709"/>
        <w:contextualSpacing w:val="0"/>
        <w:outlineLvl w:val="1"/>
        <w:rPr>
          <w:rFonts w:ascii="Arial" w:eastAsia="Times New Roman" w:hAnsi="Arial" w:cs="Arial"/>
          <w:b/>
          <w:color w:val="333333"/>
          <w:sz w:val="24"/>
          <w:szCs w:val="24"/>
          <w:lang w:eastAsia="en-GB"/>
        </w:rPr>
      </w:pPr>
      <w:r w:rsidRPr="008F571B">
        <w:rPr>
          <w:rFonts w:ascii="Arial" w:eastAsia="Times New Roman" w:hAnsi="Arial" w:cs="Arial"/>
          <w:b/>
          <w:color w:val="333333"/>
          <w:sz w:val="24"/>
          <w:szCs w:val="24"/>
          <w:lang w:eastAsia="en-GB"/>
        </w:rPr>
        <w:t>Introduction</w:t>
      </w:r>
    </w:p>
    <w:p w:rsidR="009373F1" w:rsidRDefault="008F571B"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D45240">
        <w:rPr>
          <w:rFonts w:ascii="Arial" w:eastAsia="Times New Roman" w:hAnsi="Arial" w:cs="Arial"/>
          <w:color w:val="333333"/>
          <w:sz w:val="24"/>
          <w:szCs w:val="24"/>
          <w:lang w:eastAsia="en-GB"/>
        </w:rPr>
        <w:t xml:space="preserve">This </w:t>
      </w:r>
      <w:r w:rsidR="00E804D5">
        <w:rPr>
          <w:rFonts w:ascii="Arial" w:eastAsia="Times New Roman" w:hAnsi="Arial" w:cs="Arial"/>
          <w:color w:val="333333"/>
          <w:sz w:val="24"/>
          <w:szCs w:val="24"/>
          <w:lang w:eastAsia="en-GB"/>
        </w:rPr>
        <w:t>r</w:t>
      </w:r>
      <w:r w:rsidRPr="00D45240">
        <w:rPr>
          <w:rFonts w:ascii="Arial" w:eastAsia="Times New Roman" w:hAnsi="Arial" w:cs="Arial"/>
          <w:color w:val="333333"/>
          <w:sz w:val="24"/>
          <w:szCs w:val="24"/>
          <w:lang w:eastAsia="en-GB"/>
        </w:rPr>
        <w:t xml:space="preserve">eport seeks to identify </w:t>
      </w:r>
      <w:r w:rsidR="00E804D5">
        <w:rPr>
          <w:rFonts w:ascii="Arial" w:eastAsia="Times New Roman" w:hAnsi="Arial" w:cs="Arial"/>
          <w:color w:val="333333"/>
          <w:sz w:val="24"/>
          <w:szCs w:val="24"/>
          <w:lang w:eastAsia="en-GB"/>
        </w:rPr>
        <w:t xml:space="preserve">how </w:t>
      </w:r>
      <w:r w:rsidR="00A438F7">
        <w:rPr>
          <w:rFonts w:ascii="Arial" w:eastAsia="Times New Roman" w:hAnsi="Arial" w:cs="Arial"/>
          <w:color w:val="333333"/>
          <w:sz w:val="24"/>
          <w:szCs w:val="24"/>
          <w:lang w:eastAsia="en-GB"/>
        </w:rPr>
        <w:t xml:space="preserve">Humber, Ford and Stoke Prior </w:t>
      </w:r>
      <w:r w:rsidRPr="00D45240">
        <w:rPr>
          <w:rFonts w:ascii="Arial" w:eastAsia="Times New Roman" w:hAnsi="Arial" w:cs="Arial"/>
          <w:color w:val="333333"/>
          <w:sz w:val="24"/>
          <w:szCs w:val="24"/>
          <w:lang w:eastAsia="en-GB"/>
        </w:rPr>
        <w:t>Neighbourhood Development Plan (</w:t>
      </w:r>
      <w:r w:rsidR="00A438F7">
        <w:rPr>
          <w:rFonts w:ascii="Arial" w:eastAsia="Times New Roman" w:hAnsi="Arial" w:cs="Arial"/>
          <w:color w:val="333333"/>
          <w:sz w:val="24"/>
          <w:szCs w:val="24"/>
          <w:lang w:eastAsia="en-GB"/>
        </w:rPr>
        <w:t>HFSP</w:t>
      </w:r>
      <w:r w:rsidR="00D45240" w:rsidRPr="00D45240">
        <w:rPr>
          <w:rFonts w:ascii="Arial" w:eastAsia="Times New Roman" w:hAnsi="Arial" w:cs="Arial"/>
          <w:color w:val="333333"/>
          <w:sz w:val="24"/>
          <w:szCs w:val="24"/>
          <w:lang w:eastAsia="en-GB"/>
        </w:rPr>
        <w:t>NDP)</w:t>
      </w:r>
      <w:r w:rsidRPr="00D45240">
        <w:rPr>
          <w:rFonts w:ascii="Arial" w:eastAsia="Times New Roman" w:hAnsi="Arial" w:cs="Arial"/>
          <w:color w:val="333333"/>
          <w:sz w:val="24"/>
          <w:szCs w:val="24"/>
          <w:lang w:eastAsia="en-GB"/>
        </w:rPr>
        <w:t xml:space="preserve"> </w:t>
      </w:r>
      <w:r w:rsidR="00E804D5">
        <w:rPr>
          <w:rFonts w:ascii="Arial" w:eastAsia="Times New Roman" w:hAnsi="Arial" w:cs="Arial"/>
          <w:color w:val="333333"/>
          <w:sz w:val="24"/>
          <w:szCs w:val="24"/>
          <w:lang w:eastAsia="en-GB"/>
        </w:rPr>
        <w:t xml:space="preserve">might provide sufficient land to address the target set for the parish </w:t>
      </w:r>
      <w:r w:rsidR="009373F1">
        <w:rPr>
          <w:rFonts w:ascii="Arial" w:eastAsia="Times New Roman" w:hAnsi="Arial" w:cs="Arial"/>
          <w:color w:val="333333"/>
          <w:sz w:val="24"/>
          <w:szCs w:val="24"/>
          <w:lang w:eastAsia="en-GB"/>
        </w:rPr>
        <w:t xml:space="preserve">over </w:t>
      </w:r>
      <w:r w:rsidR="00D45240">
        <w:rPr>
          <w:rFonts w:ascii="Arial" w:eastAsia="Times New Roman" w:hAnsi="Arial" w:cs="Arial"/>
          <w:color w:val="333333"/>
          <w:sz w:val="24"/>
          <w:szCs w:val="24"/>
          <w:lang w:eastAsia="en-GB"/>
        </w:rPr>
        <w:t>the period 2011 to 2031</w:t>
      </w:r>
      <w:r w:rsidRPr="00D45240">
        <w:rPr>
          <w:rFonts w:ascii="Arial" w:eastAsia="Times New Roman" w:hAnsi="Arial" w:cs="Arial"/>
          <w:color w:val="333333"/>
          <w:sz w:val="24"/>
          <w:szCs w:val="24"/>
          <w:lang w:eastAsia="en-GB"/>
        </w:rPr>
        <w:t xml:space="preserve">. The basis for this assessment is Herefordshire </w:t>
      </w:r>
      <w:r w:rsidR="00011FB2">
        <w:rPr>
          <w:rFonts w:ascii="Arial" w:eastAsia="Times New Roman" w:hAnsi="Arial" w:cs="Arial"/>
          <w:color w:val="333333"/>
          <w:sz w:val="24"/>
          <w:szCs w:val="24"/>
          <w:lang w:eastAsia="en-GB"/>
        </w:rPr>
        <w:t xml:space="preserve">Local Plan </w:t>
      </w:r>
      <w:r w:rsidRPr="00D45240">
        <w:rPr>
          <w:rFonts w:ascii="Arial" w:eastAsia="Times New Roman" w:hAnsi="Arial" w:cs="Arial"/>
          <w:color w:val="333333"/>
          <w:sz w:val="24"/>
          <w:szCs w:val="24"/>
          <w:lang w:eastAsia="en-GB"/>
        </w:rPr>
        <w:t>Core Strategy</w:t>
      </w:r>
      <w:r w:rsidR="00011FB2">
        <w:rPr>
          <w:rFonts w:ascii="Arial" w:eastAsia="Times New Roman" w:hAnsi="Arial" w:cs="Arial"/>
          <w:color w:val="333333"/>
          <w:sz w:val="24"/>
          <w:szCs w:val="24"/>
          <w:lang w:eastAsia="en-GB"/>
        </w:rPr>
        <w:t xml:space="preserve"> (hereafter referred to as Herefordshire Core Strategy)</w:t>
      </w:r>
      <w:r w:rsidRPr="00D45240">
        <w:rPr>
          <w:rFonts w:ascii="Arial" w:eastAsia="Times New Roman" w:hAnsi="Arial" w:cs="Arial"/>
          <w:color w:val="333333"/>
          <w:sz w:val="24"/>
          <w:szCs w:val="24"/>
          <w:lang w:eastAsia="en-GB"/>
        </w:rPr>
        <w:t xml:space="preserve"> </w:t>
      </w:r>
      <w:r w:rsidR="00011FB2">
        <w:rPr>
          <w:rFonts w:ascii="Arial" w:eastAsia="Times New Roman" w:hAnsi="Arial" w:cs="Arial"/>
          <w:color w:val="333333"/>
          <w:sz w:val="24"/>
          <w:szCs w:val="24"/>
          <w:lang w:eastAsia="en-GB"/>
        </w:rPr>
        <w:t>P</w:t>
      </w:r>
      <w:r w:rsidRPr="00D45240">
        <w:rPr>
          <w:rFonts w:ascii="Arial" w:eastAsia="Times New Roman" w:hAnsi="Arial" w:cs="Arial"/>
          <w:color w:val="333333"/>
          <w:sz w:val="24"/>
          <w:szCs w:val="24"/>
          <w:lang w:eastAsia="en-GB"/>
        </w:rPr>
        <w:t>olicy RA</w:t>
      </w:r>
      <w:r w:rsidR="00D45240">
        <w:rPr>
          <w:rFonts w:ascii="Arial" w:eastAsia="Times New Roman" w:hAnsi="Arial" w:cs="Arial"/>
          <w:color w:val="333333"/>
          <w:sz w:val="24"/>
          <w:szCs w:val="24"/>
          <w:lang w:eastAsia="en-GB"/>
        </w:rPr>
        <w:t>1</w:t>
      </w:r>
      <w:r w:rsidR="007F4A64">
        <w:rPr>
          <w:rFonts w:ascii="Arial" w:eastAsia="Times New Roman" w:hAnsi="Arial" w:cs="Arial"/>
          <w:color w:val="333333"/>
          <w:sz w:val="24"/>
          <w:szCs w:val="24"/>
          <w:lang w:eastAsia="en-GB"/>
        </w:rPr>
        <w:t>,</w:t>
      </w:r>
      <w:r w:rsidR="00C61EB3">
        <w:rPr>
          <w:rFonts w:ascii="Arial" w:eastAsia="Times New Roman" w:hAnsi="Arial" w:cs="Arial"/>
          <w:color w:val="333333"/>
          <w:sz w:val="24"/>
          <w:szCs w:val="24"/>
          <w:lang w:eastAsia="en-GB"/>
        </w:rPr>
        <w:t xml:space="preserve"> </w:t>
      </w:r>
      <w:r w:rsidR="009373F1">
        <w:rPr>
          <w:rFonts w:ascii="Arial" w:eastAsia="Times New Roman" w:hAnsi="Arial" w:cs="Arial"/>
          <w:color w:val="333333"/>
          <w:sz w:val="24"/>
          <w:szCs w:val="24"/>
          <w:lang w:eastAsia="en-GB"/>
        </w:rPr>
        <w:t xml:space="preserve">which sets out housing targets for each Housing </w:t>
      </w:r>
      <w:r w:rsidR="00E804D5">
        <w:rPr>
          <w:rFonts w:ascii="Arial" w:eastAsia="Times New Roman" w:hAnsi="Arial" w:cs="Arial"/>
          <w:color w:val="333333"/>
          <w:sz w:val="24"/>
          <w:szCs w:val="24"/>
          <w:lang w:eastAsia="en-GB"/>
        </w:rPr>
        <w:t>M</w:t>
      </w:r>
      <w:r w:rsidR="009373F1">
        <w:rPr>
          <w:rFonts w:ascii="Arial" w:eastAsia="Times New Roman" w:hAnsi="Arial" w:cs="Arial"/>
          <w:color w:val="333333"/>
          <w:sz w:val="24"/>
          <w:szCs w:val="24"/>
          <w:lang w:eastAsia="en-GB"/>
        </w:rPr>
        <w:t>arket Area</w:t>
      </w:r>
      <w:r w:rsidR="00E804D5">
        <w:rPr>
          <w:rFonts w:ascii="Arial" w:eastAsia="Times New Roman" w:hAnsi="Arial" w:cs="Arial"/>
          <w:color w:val="333333"/>
          <w:sz w:val="24"/>
          <w:szCs w:val="24"/>
          <w:lang w:eastAsia="en-GB"/>
        </w:rPr>
        <w:t xml:space="preserve"> and, through Policy RA2 how much each parish should provide</w:t>
      </w:r>
      <w:r w:rsidR="009373F1">
        <w:rPr>
          <w:rFonts w:ascii="Arial" w:eastAsia="Times New Roman" w:hAnsi="Arial" w:cs="Arial"/>
          <w:color w:val="333333"/>
          <w:sz w:val="24"/>
          <w:szCs w:val="24"/>
          <w:lang w:eastAsia="en-GB"/>
        </w:rPr>
        <w:t xml:space="preserve">. In relation to </w:t>
      </w:r>
      <w:r w:rsidR="00A438F7">
        <w:rPr>
          <w:rFonts w:ascii="Arial" w:eastAsia="Times New Roman" w:hAnsi="Arial" w:cs="Arial"/>
          <w:color w:val="333333"/>
          <w:sz w:val="24"/>
          <w:szCs w:val="24"/>
          <w:lang w:eastAsia="en-GB"/>
        </w:rPr>
        <w:t>Humber, Ford and Stoke Prior</w:t>
      </w:r>
      <w:r w:rsidR="009373F1">
        <w:rPr>
          <w:rFonts w:ascii="Arial" w:eastAsia="Times New Roman" w:hAnsi="Arial" w:cs="Arial"/>
          <w:color w:val="333333"/>
          <w:sz w:val="24"/>
          <w:szCs w:val="24"/>
          <w:lang w:eastAsia="en-GB"/>
        </w:rPr>
        <w:t>, the Parish falls with</w:t>
      </w:r>
      <w:r w:rsidR="007F4A64">
        <w:rPr>
          <w:rFonts w:ascii="Arial" w:eastAsia="Times New Roman" w:hAnsi="Arial" w:cs="Arial"/>
          <w:color w:val="333333"/>
          <w:sz w:val="24"/>
          <w:szCs w:val="24"/>
          <w:lang w:eastAsia="en-GB"/>
        </w:rPr>
        <w:t>in</w:t>
      </w:r>
      <w:r w:rsidR="009373F1">
        <w:rPr>
          <w:rFonts w:ascii="Arial" w:eastAsia="Times New Roman" w:hAnsi="Arial" w:cs="Arial"/>
          <w:color w:val="333333"/>
          <w:sz w:val="24"/>
          <w:szCs w:val="24"/>
          <w:lang w:eastAsia="en-GB"/>
        </w:rPr>
        <w:t xml:space="preserve"> the </w:t>
      </w:r>
      <w:r w:rsidR="00A438F7">
        <w:rPr>
          <w:rFonts w:ascii="Arial" w:eastAsia="Times New Roman" w:hAnsi="Arial" w:cs="Arial"/>
          <w:color w:val="333333"/>
          <w:sz w:val="24"/>
          <w:szCs w:val="24"/>
          <w:lang w:eastAsia="en-GB"/>
        </w:rPr>
        <w:t>Bromyard</w:t>
      </w:r>
      <w:r w:rsidR="009373F1">
        <w:rPr>
          <w:rFonts w:ascii="Arial" w:eastAsia="Times New Roman" w:hAnsi="Arial" w:cs="Arial"/>
          <w:color w:val="333333"/>
          <w:sz w:val="24"/>
          <w:szCs w:val="24"/>
          <w:lang w:eastAsia="en-GB"/>
        </w:rPr>
        <w:t xml:space="preserve"> Housing Market Area where the indicative housing target is a growth in the number of houses within the parish of 1</w:t>
      </w:r>
      <w:r w:rsidR="00A438F7">
        <w:rPr>
          <w:rFonts w:ascii="Arial" w:eastAsia="Times New Roman" w:hAnsi="Arial" w:cs="Arial"/>
          <w:color w:val="333333"/>
          <w:sz w:val="24"/>
          <w:szCs w:val="24"/>
          <w:lang w:eastAsia="en-GB"/>
        </w:rPr>
        <w:t>5</w:t>
      </w:r>
      <w:r w:rsidR="009373F1">
        <w:rPr>
          <w:rFonts w:ascii="Arial" w:eastAsia="Times New Roman" w:hAnsi="Arial" w:cs="Arial"/>
          <w:color w:val="333333"/>
          <w:sz w:val="24"/>
          <w:szCs w:val="24"/>
          <w:lang w:eastAsia="en-GB"/>
        </w:rPr>
        <w:t>%</w:t>
      </w:r>
      <w:r w:rsidR="00E804D5">
        <w:rPr>
          <w:rFonts w:ascii="Arial" w:eastAsia="Times New Roman" w:hAnsi="Arial" w:cs="Arial"/>
          <w:color w:val="333333"/>
          <w:sz w:val="24"/>
          <w:szCs w:val="24"/>
          <w:lang w:eastAsia="en-GB"/>
        </w:rPr>
        <w:t xml:space="preserve"> upon its 2011 number of dwellings</w:t>
      </w:r>
      <w:r w:rsidRPr="00D45240">
        <w:rPr>
          <w:rFonts w:ascii="Arial" w:eastAsia="Times New Roman" w:hAnsi="Arial" w:cs="Arial"/>
          <w:color w:val="333333"/>
          <w:sz w:val="24"/>
          <w:szCs w:val="24"/>
          <w:lang w:eastAsia="en-GB"/>
        </w:rPr>
        <w:t xml:space="preserve">. </w:t>
      </w:r>
    </w:p>
    <w:p w:rsidR="00D45240" w:rsidRDefault="009373F1"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w:t>
      </w:r>
      <w:r w:rsidR="008F571B" w:rsidRPr="00D45240">
        <w:rPr>
          <w:rFonts w:ascii="Arial" w:eastAsia="Times New Roman" w:hAnsi="Arial" w:cs="Arial"/>
          <w:color w:val="333333"/>
          <w:sz w:val="24"/>
          <w:szCs w:val="24"/>
          <w:lang w:eastAsia="en-GB"/>
        </w:rPr>
        <w:t xml:space="preserve">t should be recognised at the outset that </w:t>
      </w:r>
      <w:r w:rsidR="00A438F7">
        <w:rPr>
          <w:rFonts w:ascii="Arial" w:eastAsia="Times New Roman" w:hAnsi="Arial" w:cs="Arial"/>
          <w:color w:val="333333"/>
          <w:sz w:val="24"/>
          <w:szCs w:val="24"/>
          <w:lang w:eastAsia="en-GB"/>
        </w:rPr>
        <w:t>HFSP</w:t>
      </w:r>
      <w:r w:rsidR="00D45240" w:rsidRPr="00D45240">
        <w:rPr>
          <w:rFonts w:ascii="Arial" w:eastAsia="Times New Roman" w:hAnsi="Arial" w:cs="Arial"/>
          <w:color w:val="333333"/>
          <w:sz w:val="24"/>
          <w:szCs w:val="24"/>
          <w:lang w:eastAsia="en-GB"/>
        </w:rPr>
        <w:t>NDP</w:t>
      </w:r>
      <w:r w:rsidR="008F571B" w:rsidRPr="00D45240">
        <w:rPr>
          <w:rFonts w:ascii="Arial" w:eastAsia="Times New Roman" w:hAnsi="Arial" w:cs="Arial"/>
          <w:color w:val="333333"/>
          <w:sz w:val="24"/>
          <w:szCs w:val="24"/>
          <w:lang w:eastAsia="en-GB"/>
        </w:rPr>
        <w:t xml:space="preserve"> will </w:t>
      </w:r>
      <w:r w:rsidR="00D45240" w:rsidRPr="00D45240">
        <w:rPr>
          <w:rFonts w:ascii="Arial" w:eastAsia="Times New Roman" w:hAnsi="Arial" w:cs="Arial"/>
          <w:color w:val="333333"/>
          <w:sz w:val="24"/>
          <w:szCs w:val="24"/>
          <w:lang w:eastAsia="en-GB"/>
        </w:rPr>
        <w:t xml:space="preserve">contain only some of the policies and proposals that will seek to make a contribution to the </w:t>
      </w:r>
      <w:r>
        <w:rPr>
          <w:rFonts w:ascii="Arial" w:eastAsia="Times New Roman" w:hAnsi="Arial" w:cs="Arial"/>
          <w:color w:val="333333"/>
          <w:sz w:val="24"/>
          <w:szCs w:val="24"/>
          <w:lang w:eastAsia="en-GB"/>
        </w:rPr>
        <w:t xml:space="preserve">indicative </w:t>
      </w:r>
      <w:r w:rsidR="00D45240" w:rsidRPr="00D45240">
        <w:rPr>
          <w:rFonts w:ascii="Arial" w:eastAsia="Times New Roman" w:hAnsi="Arial" w:cs="Arial"/>
          <w:color w:val="333333"/>
          <w:sz w:val="24"/>
          <w:szCs w:val="24"/>
          <w:lang w:eastAsia="en-GB"/>
        </w:rPr>
        <w:t xml:space="preserve">housing target set for the rural parts of the County, </w:t>
      </w:r>
      <w:r w:rsidR="00A438F7">
        <w:rPr>
          <w:rFonts w:ascii="Arial" w:eastAsia="Times New Roman" w:hAnsi="Arial" w:cs="Arial"/>
          <w:color w:val="333333"/>
          <w:sz w:val="24"/>
          <w:szCs w:val="24"/>
          <w:lang w:eastAsia="en-GB"/>
        </w:rPr>
        <w:t>Bromyard</w:t>
      </w:r>
      <w:r w:rsidR="00D45240" w:rsidRPr="00D45240">
        <w:rPr>
          <w:rFonts w:ascii="Arial" w:eastAsia="Times New Roman" w:hAnsi="Arial" w:cs="Arial"/>
          <w:color w:val="333333"/>
          <w:sz w:val="24"/>
          <w:szCs w:val="24"/>
          <w:lang w:eastAsia="en-GB"/>
        </w:rPr>
        <w:t xml:space="preserve"> Housing Market Area and </w:t>
      </w:r>
      <w:r w:rsidR="00A438F7">
        <w:rPr>
          <w:rFonts w:ascii="Arial" w:eastAsia="Times New Roman" w:hAnsi="Arial" w:cs="Arial"/>
          <w:color w:val="333333"/>
          <w:sz w:val="24"/>
          <w:szCs w:val="24"/>
          <w:lang w:eastAsia="en-GB"/>
        </w:rPr>
        <w:t>Humber, Ford and Stoke Prior Group</w:t>
      </w:r>
      <w:r w:rsidR="00D45240" w:rsidRPr="00D45240">
        <w:rPr>
          <w:rFonts w:ascii="Arial" w:eastAsia="Times New Roman" w:hAnsi="Arial" w:cs="Arial"/>
          <w:color w:val="333333"/>
          <w:sz w:val="24"/>
          <w:szCs w:val="24"/>
          <w:lang w:eastAsia="en-GB"/>
        </w:rPr>
        <w:t xml:space="preserve"> Parish. Herefordshire Core Strategy sets out a number of other policies that will also make a contribution to meeting housing needs, in particular policy RA3. </w:t>
      </w:r>
    </w:p>
    <w:p w:rsidR="00C61EB3" w:rsidRDefault="00C61EB3"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Herefordshire Core Strategy Policy RA2</w:t>
      </w:r>
      <w:r w:rsidR="00A72C69">
        <w:rPr>
          <w:rFonts w:ascii="Arial" w:eastAsia="Times New Roman" w:hAnsi="Arial" w:cs="Arial"/>
          <w:color w:val="333333"/>
          <w:sz w:val="24"/>
          <w:szCs w:val="24"/>
          <w:lang w:eastAsia="en-GB"/>
        </w:rPr>
        <w:t xml:space="preserve"> (</w:t>
      </w:r>
      <w:r w:rsidR="00A438F7">
        <w:rPr>
          <w:rFonts w:ascii="Arial" w:eastAsia="Times New Roman" w:hAnsi="Arial" w:cs="Arial"/>
          <w:color w:val="333333"/>
          <w:sz w:val="24"/>
          <w:szCs w:val="24"/>
          <w:lang w:eastAsia="en-GB"/>
        </w:rPr>
        <w:t xml:space="preserve">see </w:t>
      </w:r>
      <w:r w:rsidR="00A72C69">
        <w:rPr>
          <w:rFonts w:ascii="Arial" w:eastAsia="Times New Roman" w:hAnsi="Arial" w:cs="Arial"/>
          <w:color w:val="333333"/>
          <w:sz w:val="24"/>
          <w:szCs w:val="24"/>
          <w:lang w:eastAsia="en-GB"/>
        </w:rPr>
        <w:t>Appendix 1)</w:t>
      </w:r>
      <w:r>
        <w:rPr>
          <w:rFonts w:ascii="Arial" w:eastAsia="Times New Roman" w:hAnsi="Arial" w:cs="Arial"/>
          <w:color w:val="333333"/>
          <w:sz w:val="24"/>
          <w:szCs w:val="24"/>
          <w:lang w:eastAsia="en-GB"/>
        </w:rPr>
        <w:t xml:space="preserve"> indicates how that part of the housing requirement to be located </w:t>
      </w:r>
      <w:r w:rsidR="00267E07">
        <w:rPr>
          <w:rFonts w:ascii="Arial" w:eastAsia="Times New Roman" w:hAnsi="Arial" w:cs="Arial"/>
          <w:color w:val="333333"/>
          <w:sz w:val="24"/>
          <w:szCs w:val="24"/>
          <w:lang w:eastAsia="en-GB"/>
        </w:rPr>
        <w:t>withi</w:t>
      </w:r>
      <w:r>
        <w:rPr>
          <w:rFonts w:ascii="Arial" w:eastAsia="Times New Roman" w:hAnsi="Arial" w:cs="Arial"/>
          <w:color w:val="333333"/>
          <w:sz w:val="24"/>
          <w:szCs w:val="24"/>
          <w:lang w:eastAsia="en-GB"/>
        </w:rPr>
        <w:t xml:space="preserve">n named settlements is to be planned for. Herefordshire Council is promoting Neighbourhood Development Plans as its preferred approach for planning to accommodate development within or adjacent to named settlements. </w:t>
      </w:r>
      <w:r w:rsidR="002D30BF">
        <w:rPr>
          <w:rFonts w:ascii="Arial" w:eastAsia="Times New Roman" w:hAnsi="Arial" w:cs="Arial"/>
          <w:color w:val="333333"/>
          <w:sz w:val="24"/>
          <w:szCs w:val="24"/>
          <w:lang w:eastAsia="en-GB"/>
        </w:rPr>
        <w:t>It lists its ‘named settlements</w:t>
      </w:r>
      <w:r w:rsidR="00267E07">
        <w:rPr>
          <w:rFonts w:ascii="Arial" w:eastAsia="Times New Roman" w:hAnsi="Arial" w:cs="Arial"/>
          <w:color w:val="333333"/>
          <w:sz w:val="24"/>
          <w:szCs w:val="24"/>
          <w:lang w:eastAsia="en-GB"/>
        </w:rPr>
        <w:t>’</w:t>
      </w:r>
      <w:r w:rsidR="002D30BF">
        <w:rPr>
          <w:rFonts w:ascii="Arial" w:eastAsia="Times New Roman" w:hAnsi="Arial" w:cs="Arial"/>
          <w:color w:val="333333"/>
          <w:sz w:val="24"/>
          <w:szCs w:val="24"/>
          <w:lang w:eastAsia="en-GB"/>
        </w:rPr>
        <w:t xml:space="preserve"> in Tables 4.20 and 4.21</w:t>
      </w:r>
      <w:r>
        <w:rPr>
          <w:rFonts w:ascii="Arial" w:eastAsia="Times New Roman" w:hAnsi="Arial" w:cs="Arial"/>
          <w:color w:val="333333"/>
          <w:sz w:val="24"/>
          <w:szCs w:val="24"/>
          <w:lang w:eastAsia="en-GB"/>
        </w:rPr>
        <w:t xml:space="preserve"> </w:t>
      </w:r>
      <w:r w:rsidR="002D30BF">
        <w:rPr>
          <w:rFonts w:ascii="Arial" w:eastAsia="Times New Roman" w:hAnsi="Arial" w:cs="Arial"/>
          <w:color w:val="333333"/>
          <w:sz w:val="24"/>
          <w:szCs w:val="24"/>
          <w:lang w:eastAsia="en-GB"/>
        </w:rPr>
        <w:t>of Herefordshire Core Strategy.</w:t>
      </w:r>
      <w:r>
        <w:rPr>
          <w:rFonts w:ascii="Arial" w:eastAsia="Times New Roman" w:hAnsi="Arial" w:cs="Arial"/>
          <w:color w:val="333333"/>
          <w:sz w:val="24"/>
          <w:szCs w:val="24"/>
          <w:lang w:eastAsia="en-GB"/>
        </w:rPr>
        <w:t xml:space="preserve"> </w:t>
      </w:r>
      <w:r w:rsidR="009373F1">
        <w:rPr>
          <w:rFonts w:ascii="Arial" w:eastAsia="Times New Roman" w:hAnsi="Arial" w:cs="Arial"/>
          <w:color w:val="333333"/>
          <w:sz w:val="24"/>
          <w:szCs w:val="24"/>
          <w:lang w:eastAsia="en-GB"/>
        </w:rPr>
        <w:t xml:space="preserve">In relation to </w:t>
      </w:r>
      <w:r w:rsidR="00A438F7">
        <w:rPr>
          <w:rFonts w:ascii="Arial" w:eastAsia="Times New Roman" w:hAnsi="Arial" w:cs="Arial"/>
          <w:color w:val="333333"/>
          <w:sz w:val="24"/>
          <w:szCs w:val="24"/>
          <w:lang w:eastAsia="en-GB"/>
        </w:rPr>
        <w:t>Humber, Ford and Stoke Prior Group</w:t>
      </w:r>
      <w:r w:rsidR="009373F1">
        <w:rPr>
          <w:rFonts w:ascii="Arial" w:eastAsia="Times New Roman" w:hAnsi="Arial" w:cs="Arial"/>
          <w:color w:val="333333"/>
          <w:sz w:val="24"/>
          <w:szCs w:val="24"/>
          <w:lang w:eastAsia="en-GB"/>
        </w:rPr>
        <w:t xml:space="preserve"> </w:t>
      </w:r>
      <w:r w:rsidR="00A438F7">
        <w:rPr>
          <w:rFonts w:ascii="Arial" w:eastAsia="Times New Roman" w:hAnsi="Arial" w:cs="Arial"/>
          <w:color w:val="333333"/>
          <w:sz w:val="24"/>
          <w:szCs w:val="24"/>
          <w:lang w:eastAsia="en-GB"/>
        </w:rPr>
        <w:t>P</w:t>
      </w:r>
      <w:r w:rsidR="009373F1">
        <w:rPr>
          <w:rFonts w:ascii="Arial" w:eastAsia="Times New Roman" w:hAnsi="Arial" w:cs="Arial"/>
          <w:color w:val="333333"/>
          <w:sz w:val="24"/>
          <w:szCs w:val="24"/>
          <w:lang w:eastAsia="en-GB"/>
        </w:rPr>
        <w:t xml:space="preserve">arish these include </w:t>
      </w:r>
      <w:r w:rsidR="00A438F7">
        <w:rPr>
          <w:rFonts w:ascii="Arial" w:eastAsia="Times New Roman" w:hAnsi="Arial" w:cs="Arial"/>
          <w:color w:val="333333"/>
          <w:sz w:val="24"/>
          <w:szCs w:val="24"/>
          <w:lang w:eastAsia="en-GB"/>
        </w:rPr>
        <w:t>Stoke Prior, Risbury and Steensbridge</w:t>
      </w:r>
      <w:r w:rsidR="009373F1">
        <w:rPr>
          <w:rFonts w:ascii="Arial" w:eastAsia="Times New Roman" w:hAnsi="Arial" w:cs="Arial"/>
          <w:color w:val="333333"/>
          <w:sz w:val="24"/>
          <w:szCs w:val="24"/>
          <w:lang w:eastAsia="en-GB"/>
        </w:rPr>
        <w:t xml:space="preserve"> (part).</w:t>
      </w:r>
      <w:r>
        <w:rPr>
          <w:rFonts w:ascii="Arial" w:eastAsia="Times New Roman" w:hAnsi="Arial" w:cs="Arial"/>
          <w:color w:val="333333"/>
          <w:sz w:val="24"/>
          <w:szCs w:val="24"/>
          <w:lang w:eastAsia="en-GB"/>
        </w:rPr>
        <w:t xml:space="preserve">  </w:t>
      </w:r>
    </w:p>
    <w:p w:rsidR="00EA41F3" w:rsidRDefault="00A438F7"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Humber, Ford and Stoke Prior</w:t>
      </w:r>
      <w:r w:rsidR="00A72C69">
        <w:rPr>
          <w:rFonts w:ascii="Arial" w:eastAsia="Times New Roman" w:hAnsi="Arial" w:cs="Arial"/>
          <w:color w:val="333333"/>
          <w:sz w:val="24"/>
          <w:szCs w:val="24"/>
          <w:lang w:eastAsia="en-GB"/>
        </w:rPr>
        <w:t xml:space="preserve"> Neighbourhood Development Plan Steering Group </w:t>
      </w:r>
      <w:r>
        <w:rPr>
          <w:rFonts w:ascii="Arial" w:eastAsia="Times New Roman" w:hAnsi="Arial" w:cs="Arial"/>
          <w:color w:val="333333"/>
          <w:sz w:val="24"/>
          <w:szCs w:val="24"/>
          <w:lang w:eastAsia="en-GB"/>
        </w:rPr>
        <w:t xml:space="preserve">has </w:t>
      </w:r>
      <w:r w:rsidR="00E804D5">
        <w:rPr>
          <w:rFonts w:ascii="Arial" w:eastAsia="Times New Roman" w:hAnsi="Arial" w:cs="Arial"/>
          <w:color w:val="333333"/>
          <w:sz w:val="24"/>
          <w:szCs w:val="24"/>
          <w:lang w:eastAsia="en-GB"/>
        </w:rPr>
        <w:t>prepared</w:t>
      </w:r>
      <w:r w:rsidR="00A72C69">
        <w:rPr>
          <w:rFonts w:ascii="Arial" w:eastAsia="Times New Roman" w:hAnsi="Arial" w:cs="Arial"/>
          <w:color w:val="333333"/>
          <w:sz w:val="24"/>
          <w:szCs w:val="24"/>
          <w:lang w:eastAsia="en-GB"/>
        </w:rPr>
        <w:t xml:space="preserve"> a draft neighbourhood plan upon which </w:t>
      </w:r>
      <w:r>
        <w:rPr>
          <w:rFonts w:ascii="Arial" w:eastAsia="Times New Roman" w:hAnsi="Arial" w:cs="Arial"/>
          <w:color w:val="333333"/>
          <w:sz w:val="24"/>
          <w:szCs w:val="24"/>
          <w:lang w:eastAsia="en-GB"/>
        </w:rPr>
        <w:t xml:space="preserve">it will consult the </w:t>
      </w:r>
      <w:r w:rsidR="00A72C69">
        <w:rPr>
          <w:rFonts w:ascii="Arial" w:eastAsia="Times New Roman" w:hAnsi="Arial" w:cs="Arial"/>
          <w:color w:val="333333"/>
          <w:sz w:val="24"/>
          <w:szCs w:val="24"/>
          <w:lang w:eastAsia="en-GB"/>
        </w:rPr>
        <w:t xml:space="preserve">community under Regulation 14 of the Neighbourhood Planning (General) Regulations 2012 between </w:t>
      </w:r>
      <w:r>
        <w:rPr>
          <w:rFonts w:ascii="Arial" w:eastAsia="Times New Roman" w:hAnsi="Arial" w:cs="Arial"/>
          <w:color w:val="333333"/>
          <w:sz w:val="24"/>
          <w:szCs w:val="24"/>
          <w:lang w:eastAsia="en-GB"/>
        </w:rPr>
        <w:t>August and September</w:t>
      </w:r>
      <w:r w:rsidR="00A72C69">
        <w:rPr>
          <w:rFonts w:ascii="Arial" w:eastAsia="Times New Roman" w:hAnsi="Arial" w:cs="Arial"/>
          <w:color w:val="333333"/>
          <w:sz w:val="24"/>
          <w:szCs w:val="24"/>
          <w:lang w:eastAsia="en-GB"/>
        </w:rPr>
        <w:t xml:space="preserve"> 2015.</w:t>
      </w:r>
      <w:r w:rsidR="00CE04EC">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Work originally started on the plan </w:t>
      </w:r>
      <w:r w:rsidR="00CE04EC">
        <w:rPr>
          <w:rFonts w:ascii="Arial" w:eastAsia="Times New Roman" w:hAnsi="Arial" w:cs="Arial"/>
          <w:color w:val="333333"/>
          <w:sz w:val="24"/>
          <w:szCs w:val="24"/>
          <w:lang w:eastAsia="en-GB"/>
        </w:rPr>
        <w:t xml:space="preserve">based upon the Submission Draft Herefordshire Core Strategy which set targets </w:t>
      </w:r>
      <w:r>
        <w:rPr>
          <w:rFonts w:ascii="Arial" w:eastAsia="Times New Roman" w:hAnsi="Arial" w:cs="Arial"/>
          <w:color w:val="333333"/>
          <w:sz w:val="24"/>
          <w:szCs w:val="24"/>
          <w:lang w:eastAsia="en-GB"/>
        </w:rPr>
        <w:t>for the three settlements o</w:t>
      </w:r>
      <w:r w:rsidR="00CE04EC">
        <w:rPr>
          <w:rFonts w:ascii="Arial" w:eastAsia="Times New Roman" w:hAnsi="Arial" w:cs="Arial"/>
          <w:color w:val="333333"/>
          <w:sz w:val="24"/>
          <w:szCs w:val="24"/>
          <w:lang w:eastAsia="en-GB"/>
        </w:rPr>
        <w:t>ver the period 2011 to 2031.</w:t>
      </w:r>
    </w:p>
    <w:p w:rsidR="00A72C69" w:rsidRPr="00D45240" w:rsidRDefault="00EA41F3"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Inspector for the Examination of Herefordshire Core Strategy subsequently issued modifications covering the relevant rural areas housing policies</w:t>
      </w:r>
      <w:r w:rsidR="00E804D5">
        <w:rPr>
          <w:rFonts w:ascii="Arial" w:eastAsia="Times New Roman" w:hAnsi="Arial" w:cs="Arial"/>
          <w:color w:val="333333"/>
          <w:sz w:val="24"/>
          <w:szCs w:val="24"/>
          <w:lang w:eastAsia="en-GB"/>
        </w:rPr>
        <w:t>, including Policies RA1 and RA2.</w:t>
      </w:r>
      <w:r>
        <w:rPr>
          <w:rFonts w:ascii="Arial" w:eastAsia="Times New Roman" w:hAnsi="Arial" w:cs="Arial"/>
          <w:color w:val="333333"/>
          <w:sz w:val="24"/>
          <w:szCs w:val="24"/>
          <w:lang w:eastAsia="en-GB"/>
        </w:rPr>
        <w:t xml:space="preserve"> The principal difference is that </w:t>
      </w:r>
      <w:r w:rsidR="00E804D5">
        <w:rPr>
          <w:rFonts w:ascii="Arial" w:eastAsia="Times New Roman" w:hAnsi="Arial" w:cs="Arial"/>
          <w:color w:val="333333"/>
          <w:sz w:val="24"/>
          <w:szCs w:val="24"/>
          <w:lang w:eastAsia="en-GB"/>
        </w:rPr>
        <w:t xml:space="preserve">now </w:t>
      </w:r>
      <w:r>
        <w:rPr>
          <w:rFonts w:ascii="Arial" w:eastAsia="Times New Roman" w:hAnsi="Arial" w:cs="Arial"/>
          <w:color w:val="333333"/>
          <w:sz w:val="24"/>
          <w:szCs w:val="24"/>
          <w:lang w:eastAsia="en-GB"/>
        </w:rPr>
        <w:t xml:space="preserve">a housing target is set for the whole parish rather than individual settlements and this would include development both within settlements and outside.   </w:t>
      </w:r>
      <w:r w:rsidR="00CE04EC">
        <w:rPr>
          <w:rFonts w:ascii="Arial" w:eastAsia="Times New Roman" w:hAnsi="Arial" w:cs="Arial"/>
          <w:color w:val="333333"/>
          <w:sz w:val="24"/>
          <w:szCs w:val="24"/>
          <w:lang w:eastAsia="en-GB"/>
        </w:rPr>
        <w:t xml:space="preserve">  </w:t>
      </w:r>
      <w:r w:rsidR="00A72C69">
        <w:rPr>
          <w:rFonts w:ascii="Arial" w:eastAsia="Times New Roman" w:hAnsi="Arial" w:cs="Arial"/>
          <w:color w:val="333333"/>
          <w:sz w:val="24"/>
          <w:szCs w:val="24"/>
          <w:lang w:eastAsia="en-GB"/>
        </w:rPr>
        <w:t xml:space="preserve">  </w:t>
      </w:r>
    </w:p>
    <w:p w:rsidR="009373F1" w:rsidRDefault="00D45240"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D45240">
        <w:rPr>
          <w:rFonts w:ascii="Arial" w:eastAsia="Times New Roman" w:hAnsi="Arial" w:cs="Arial"/>
          <w:color w:val="333333"/>
          <w:sz w:val="24"/>
          <w:szCs w:val="24"/>
          <w:lang w:eastAsia="en-GB"/>
        </w:rPr>
        <w:t xml:space="preserve">The target </w:t>
      </w:r>
      <w:r w:rsidR="008F571B" w:rsidRPr="00D45240">
        <w:rPr>
          <w:rFonts w:ascii="Arial" w:eastAsia="Times New Roman" w:hAnsi="Arial" w:cs="Arial"/>
          <w:color w:val="333333"/>
          <w:sz w:val="24"/>
          <w:szCs w:val="24"/>
          <w:lang w:eastAsia="en-GB"/>
        </w:rPr>
        <w:t xml:space="preserve">level of housing </w:t>
      </w:r>
      <w:r w:rsidRPr="00D45240">
        <w:rPr>
          <w:rFonts w:ascii="Arial" w:eastAsia="Times New Roman" w:hAnsi="Arial" w:cs="Arial"/>
          <w:color w:val="333333"/>
          <w:sz w:val="24"/>
          <w:szCs w:val="24"/>
          <w:lang w:eastAsia="en-GB"/>
        </w:rPr>
        <w:t xml:space="preserve">required by </w:t>
      </w:r>
      <w:r w:rsidR="008F571B" w:rsidRPr="00D45240">
        <w:rPr>
          <w:rFonts w:ascii="Arial" w:eastAsia="Times New Roman" w:hAnsi="Arial" w:cs="Arial"/>
          <w:color w:val="333333"/>
          <w:sz w:val="24"/>
          <w:szCs w:val="24"/>
          <w:lang w:eastAsia="en-GB"/>
        </w:rPr>
        <w:t xml:space="preserve">Herefordshire Local </w:t>
      </w:r>
      <w:r w:rsidRPr="00D45240">
        <w:rPr>
          <w:rFonts w:ascii="Arial" w:eastAsia="Times New Roman" w:hAnsi="Arial" w:cs="Arial"/>
          <w:color w:val="333333"/>
          <w:sz w:val="24"/>
          <w:szCs w:val="24"/>
          <w:lang w:eastAsia="en-GB"/>
        </w:rPr>
        <w:t>P</w:t>
      </w:r>
      <w:r w:rsidR="008F571B" w:rsidRPr="00D45240">
        <w:rPr>
          <w:rFonts w:ascii="Arial" w:eastAsia="Times New Roman" w:hAnsi="Arial" w:cs="Arial"/>
          <w:color w:val="333333"/>
          <w:sz w:val="24"/>
          <w:szCs w:val="24"/>
          <w:lang w:eastAsia="en-GB"/>
        </w:rPr>
        <w:t xml:space="preserve">lan Core Strategy forms the </w:t>
      </w:r>
      <w:r>
        <w:rPr>
          <w:rFonts w:ascii="Arial" w:eastAsia="Times New Roman" w:hAnsi="Arial" w:cs="Arial"/>
          <w:color w:val="333333"/>
          <w:sz w:val="24"/>
          <w:szCs w:val="24"/>
          <w:lang w:eastAsia="en-GB"/>
        </w:rPr>
        <w:t xml:space="preserve">starting point for this assessment. </w:t>
      </w:r>
      <w:r w:rsidR="00C61EB3">
        <w:rPr>
          <w:rFonts w:ascii="Arial" w:eastAsia="Times New Roman" w:hAnsi="Arial" w:cs="Arial"/>
          <w:color w:val="333333"/>
          <w:sz w:val="24"/>
          <w:szCs w:val="24"/>
          <w:lang w:eastAsia="en-GB"/>
        </w:rPr>
        <w:t xml:space="preserve">In relation to </w:t>
      </w:r>
      <w:r w:rsidR="00A438F7">
        <w:rPr>
          <w:rFonts w:ascii="Arial" w:eastAsia="Times New Roman" w:hAnsi="Arial" w:cs="Arial"/>
          <w:color w:val="333333"/>
          <w:sz w:val="24"/>
          <w:szCs w:val="24"/>
          <w:lang w:eastAsia="en-GB"/>
        </w:rPr>
        <w:t>Humber, Ford and Stoke Prior Group</w:t>
      </w:r>
      <w:r w:rsidR="00C61EB3">
        <w:rPr>
          <w:rFonts w:ascii="Arial" w:eastAsia="Times New Roman" w:hAnsi="Arial" w:cs="Arial"/>
          <w:color w:val="333333"/>
          <w:sz w:val="24"/>
          <w:szCs w:val="24"/>
          <w:lang w:eastAsia="en-GB"/>
        </w:rPr>
        <w:t xml:space="preserve"> Parish the target indicated by Herefordshire Council is </w:t>
      </w:r>
      <w:r w:rsidR="00A438F7">
        <w:rPr>
          <w:rFonts w:ascii="Arial" w:eastAsia="Times New Roman" w:hAnsi="Arial" w:cs="Arial"/>
          <w:color w:val="333333"/>
          <w:sz w:val="24"/>
          <w:szCs w:val="24"/>
          <w:lang w:eastAsia="en-GB"/>
        </w:rPr>
        <w:t>43</w:t>
      </w:r>
      <w:r w:rsidR="00C61EB3" w:rsidRPr="00230B4E">
        <w:rPr>
          <w:rFonts w:ascii="Arial" w:eastAsia="Times New Roman" w:hAnsi="Arial" w:cs="Arial"/>
          <w:color w:val="333333"/>
          <w:sz w:val="24"/>
          <w:szCs w:val="24"/>
          <w:lang w:eastAsia="en-GB"/>
        </w:rPr>
        <w:t>.</w:t>
      </w:r>
      <w:r w:rsidR="00C61EB3">
        <w:rPr>
          <w:rFonts w:ascii="Arial" w:eastAsia="Times New Roman" w:hAnsi="Arial" w:cs="Arial"/>
          <w:color w:val="333333"/>
          <w:sz w:val="24"/>
          <w:szCs w:val="24"/>
          <w:lang w:eastAsia="en-GB"/>
        </w:rPr>
        <w:t xml:space="preserve"> </w:t>
      </w:r>
      <w:r w:rsidR="008F571B" w:rsidRPr="00D45240">
        <w:rPr>
          <w:rFonts w:ascii="Arial" w:eastAsia="Times New Roman" w:hAnsi="Arial" w:cs="Arial"/>
          <w:color w:val="333333"/>
          <w:sz w:val="24"/>
          <w:szCs w:val="24"/>
          <w:lang w:eastAsia="en-GB"/>
        </w:rPr>
        <w:t xml:space="preserve"> </w:t>
      </w:r>
      <w:r w:rsidR="000646AE">
        <w:rPr>
          <w:rFonts w:ascii="Arial" w:eastAsia="Times New Roman" w:hAnsi="Arial" w:cs="Arial"/>
          <w:color w:val="333333"/>
          <w:sz w:val="24"/>
          <w:szCs w:val="24"/>
          <w:lang w:eastAsia="en-GB"/>
        </w:rPr>
        <w:t xml:space="preserve">The intention should be to plan positively for development and not to restrict unnecessarily the provision of housing. This does not mean a </w:t>
      </w:r>
      <w:r w:rsidR="000646AE">
        <w:rPr>
          <w:rFonts w:ascii="Arial" w:eastAsia="Times New Roman" w:hAnsi="Arial" w:cs="Arial"/>
          <w:color w:val="333333"/>
          <w:sz w:val="24"/>
          <w:szCs w:val="24"/>
          <w:lang w:eastAsia="en-GB"/>
        </w:rPr>
        <w:lastRenderedPageBreak/>
        <w:t>‘free-for-all’ but to balance provision with other social, economic and environmental objectives.</w:t>
      </w:r>
    </w:p>
    <w:p w:rsidR="00404862" w:rsidRDefault="00A438F7"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HFSPND</w:t>
      </w:r>
      <w:r w:rsidR="009373F1">
        <w:rPr>
          <w:rFonts w:ascii="Arial" w:eastAsia="Times New Roman" w:hAnsi="Arial" w:cs="Arial"/>
          <w:color w:val="333333"/>
          <w:sz w:val="24"/>
          <w:szCs w:val="24"/>
          <w:lang w:eastAsia="en-GB"/>
        </w:rPr>
        <w:t xml:space="preserve">P Steering Group </w:t>
      </w:r>
      <w:r w:rsidR="00E804D5">
        <w:rPr>
          <w:rFonts w:ascii="Arial" w:eastAsia="Times New Roman" w:hAnsi="Arial" w:cs="Arial"/>
          <w:color w:val="333333"/>
          <w:sz w:val="24"/>
          <w:szCs w:val="24"/>
          <w:lang w:eastAsia="en-GB"/>
        </w:rPr>
        <w:t xml:space="preserve">needs to </w:t>
      </w:r>
      <w:r w:rsidR="008A247B">
        <w:rPr>
          <w:rFonts w:ascii="Arial" w:eastAsia="Times New Roman" w:hAnsi="Arial" w:cs="Arial"/>
          <w:color w:val="333333"/>
          <w:sz w:val="24"/>
          <w:szCs w:val="24"/>
          <w:lang w:eastAsia="en-GB"/>
        </w:rPr>
        <w:t xml:space="preserve">identify </w:t>
      </w:r>
      <w:r w:rsidR="009373F1">
        <w:rPr>
          <w:rFonts w:ascii="Arial" w:eastAsia="Times New Roman" w:hAnsi="Arial" w:cs="Arial"/>
          <w:color w:val="333333"/>
          <w:sz w:val="24"/>
          <w:szCs w:val="24"/>
          <w:lang w:eastAsia="en-GB"/>
        </w:rPr>
        <w:t xml:space="preserve">what level of development should be accommodated within its named settlements, bearing in mind development outside of </w:t>
      </w:r>
      <w:r w:rsidR="00E804D5">
        <w:rPr>
          <w:rFonts w:ascii="Arial" w:eastAsia="Times New Roman" w:hAnsi="Arial" w:cs="Arial"/>
          <w:color w:val="333333"/>
          <w:sz w:val="24"/>
          <w:szCs w:val="24"/>
          <w:lang w:eastAsia="en-GB"/>
        </w:rPr>
        <w:t>these</w:t>
      </w:r>
      <w:r w:rsidR="009373F1">
        <w:rPr>
          <w:rFonts w:ascii="Arial" w:eastAsia="Times New Roman" w:hAnsi="Arial" w:cs="Arial"/>
          <w:color w:val="333333"/>
          <w:sz w:val="24"/>
          <w:szCs w:val="24"/>
          <w:lang w:eastAsia="en-GB"/>
        </w:rPr>
        <w:t xml:space="preserve"> settlements</w:t>
      </w:r>
      <w:r w:rsidR="00E804D5">
        <w:rPr>
          <w:rFonts w:ascii="Arial" w:eastAsia="Times New Roman" w:hAnsi="Arial" w:cs="Arial"/>
          <w:color w:val="333333"/>
          <w:sz w:val="24"/>
          <w:szCs w:val="24"/>
          <w:lang w:eastAsia="en-GB"/>
        </w:rPr>
        <w:t>;</w:t>
      </w:r>
      <w:r w:rsidR="009373F1">
        <w:rPr>
          <w:rFonts w:ascii="Arial" w:eastAsia="Times New Roman" w:hAnsi="Arial" w:cs="Arial"/>
          <w:color w:val="333333"/>
          <w:sz w:val="24"/>
          <w:szCs w:val="24"/>
          <w:lang w:eastAsia="en-GB"/>
        </w:rPr>
        <w:t xml:space="preserve"> environmental and other constraints; the amount of additional housing needed to achieve its objectives; the views of residents expressed in a number of consultations undertaken as part of the plan preparation; and bearing in mind the need to plan positively </w:t>
      </w:r>
      <w:r w:rsidR="00982B51">
        <w:rPr>
          <w:rFonts w:ascii="Arial" w:eastAsia="Times New Roman" w:hAnsi="Arial" w:cs="Arial"/>
          <w:color w:val="333333"/>
          <w:sz w:val="24"/>
          <w:szCs w:val="24"/>
          <w:lang w:eastAsia="en-GB"/>
        </w:rPr>
        <w:t xml:space="preserve">together with </w:t>
      </w:r>
      <w:r w:rsidR="009373F1">
        <w:rPr>
          <w:rFonts w:ascii="Arial" w:eastAsia="Times New Roman" w:hAnsi="Arial" w:cs="Arial"/>
          <w:color w:val="333333"/>
          <w:sz w:val="24"/>
          <w:szCs w:val="24"/>
          <w:lang w:eastAsia="en-GB"/>
        </w:rPr>
        <w:t>the expressed view by Herefordshire Council that the housing target is a minimum.</w:t>
      </w:r>
      <w:r w:rsidR="008F571B" w:rsidRPr="00D45240">
        <w:rPr>
          <w:rFonts w:ascii="Arial" w:eastAsia="Times New Roman" w:hAnsi="Arial" w:cs="Arial"/>
          <w:color w:val="333333"/>
          <w:sz w:val="24"/>
          <w:szCs w:val="24"/>
          <w:lang w:eastAsia="en-GB"/>
        </w:rPr>
        <w:t xml:space="preserve"> </w:t>
      </w:r>
    </w:p>
    <w:p w:rsidR="00404862" w:rsidRPr="00926259" w:rsidRDefault="00926259" w:rsidP="002335A1">
      <w:pPr>
        <w:pStyle w:val="ListParagraph"/>
        <w:numPr>
          <w:ilvl w:val="1"/>
          <w:numId w:val="1"/>
        </w:numPr>
        <w:spacing w:after="120" w:line="240" w:lineRule="auto"/>
        <w:ind w:left="709" w:hanging="709"/>
        <w:contextualSpacing w:val="0"/>
        <w:outlineLvl w:val="1"/>
        <w:rPr>
          <w:rFonts w:ascii="Arial" w:hAnsi="Arial" w:cs="Arial"/>
          <w:sz w:val="24"/>
          <w:szCs w:val="24"/>
        </w:rPr>
      </w:pPr>
      <w:r w:rsidRPr="00926259">
        <w:rPr>
          <w:rFonts w:ascii="Arial" w:hAnsi="Arial" w:cs="Arial"/>
          <w:sz w:val="24"/>
          <w:szCs w:val="24"/>
        </w:rPr>
        <w:t xml:space="preserve">Neighbourhood Development Plans </w:t>
      </w:r>
      <w:r>
        <w:rPr>
          <w:rFonts w:ascii="Arial" w:hAnsi="Arial" w:cs="Arial"/>
          <w:sz w:val="24"/>
          <w:szCs w:val="24"/>
        </w:rPr>
        <w:t xml:space="preserve">are to identify housing provision </w:t>
      </w:r>
      <w:r w:rsidRPr="00926259">
        <w:rPr>
          <w:rFonts w:ascii="Arial" w:eastAsia="Times New Roman" w:hAnsi="Arial" w:cs="Arial"/>
          <w:color w:val="333333"/>
          <w:sz w:val="24"/>
          <w:szCs w:val="24"/>
          <w:lang w:eastAsia="en-GB"/>
        </w:rPr>
        <w:t>within or adjacent to one or more of its named settlements</w:t>
      </w:r>
      <w:r>
        <w:rPr>
          <w:rFonts w:ascii="Arial" w:eastAsia="Times New Roman" w:hAnsi="Arial" w:cs="Arial"/>
          <w:color w:val="333333"/>
          <w:sz w:val="24"/>
          <w:szCs w:val="24"/>
          <w:lang w:eastAsia="en-GB"/>
        </w:rPr>
        <w:t xml:space="preserve">. </w:t>
      </w:r>
      <w:r w:rsidR="00404862" w:rsidRPr="00926259">
        <w:rPr>
          <w:rFonts w:ascii="Arial" w:eastAsia="Times New Roman" w:hAnsi="Arial" w:cs="Arial"/>
          <w:color w:val="333333"/>
          <w:sz w:val="24"/>
          <w:szCs w:val="24"/>
          <w:lang w:eastAsia="en-GB"/>
        </w:rPr>
        <w:t xml:space="preserve">Herefordshire Core Strategy Policy RA2 </w:t>
      </w:r>
      <w:r w:rsidR="00404862" w:rsidRPr="00926259">
        <w:rPr>
          <w:rFonts w:ascii="Arial" w:hAnsi="Arial" w:cs="Arial"/>
          <w:sz w:val="24"/>
          <w:szCs w:val="24"/>
        </w:rPr>
        <w:t xml:space="preserve">(see Appendix 1) indicates that housing development should not result in free standing, individual or groups of dwellings obviously detached from or peripheral to the main built up area of a settlement. </w:t>
      </w:r>
    </w:p>
    <w:p w:rsidR="008F571B" w:rsidRPr="00404862" w:rsidRDefault="00404862" w:rsidP="002335A1">
      <w:pPr>
        <w:pStyle w:val="ListParagraph"/>
        <w:numPr>
          <w:ilvl w:val="0"/>
          <w:numId w:val="1"/>
        </w:numPr>
        <w:spacing w:after="120" w:line="240" w:lineRule="auto"/>
        <w:ind w:left="709" w:hanging="709"/>
        <w:contextualSpacing w:val="0"/>
        <w:outlineLvl w:val="1"/>
        <w:rPr>
          <w:rFonts w:ascii="Arial" w:eastAsia="Times New Roman" w:hAnsi="Arial" w:cs="Arial"/>
          <w:b/>
          <w:color w:val="333333"/>
          <w:sz w:val="24"/>
          <w:szCs w:val="24"/>
          <w:lang w:eastAsia="en-GB"/>
        </w:rPr>
      </w:pPr>
      <w:r w:rsidRPr="00404862">
        <w:rPr>
          <w:rFonts w:ascii="Arial" w:hAnsi="Arial" w:cs="Arial"/>
          <w:sz w:val="24"/>
          <w:szCs w:val="24"/>
        </w:rPr>
        <w:t xml:space="preserve"> </w:t>
      </w:r>
      <w:r w:rsidR="000646AE" w:rsidRPr="00404862">
        <w:rPr>
          <w:rFonts w:ascii="Arial" w:eastAsia="Times New Roman" w:hAnsi="Arial" w:cs="Arial"/>
          <w:b/>
          <w:color w:val="333333"/>
          <w:sz w:val="24"/>
          <w:szCs w:val="24"/>
          <w:lang w:eastAsia="en-GB"/>
        </w:rPr>
        <w:t>Basis for the Assessment</w:t>
      </w:r>
    </w:p>
    <w:p w:rsidR="00404862" w:rsidRDefault="00404862"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Making p</w:t>
      </w:r>
      <w:r w:rsidR="002D30BF" w:rsidRPr="002D30BF">
        <w:rPr>
          <w:rFonts w:ascii="Arial" w:eastAsia="Times New Roman" w:hAnsi="Arial" w:cs="Arial"/>
          <w:color w:val="333333"/>
          <w:sz w:val="24"/>
          <w:szCs w:val="24"/>
          <w:lang w:eastAsia="en-GB"/>
        </w:rPr>
        <w:t>rovision to m</w:t>
      </w:r>
      <w:r w:rsidR="000646AE" w:rsidRPr="002D30BF">
        <w:rPr>
          <w:rFonts w:ascii="Arial" w:eastAsia="Times New Roman" w:hAnsi="Arial" w:cs="Arial"/>
          <w:color w:val="333333"/>
          <w:sz w:val="24"/>
          <w:szCs w:val="24"/>
          <w:lang w:eastAsia="en-GB"/>
        </w:rPr>
        <w:t xml:space="preserve">eet the new housing </w:t>
      </w:r>
      <w:r>
        <w:rPr>
          <w:rFonts w:ascii="Arial" w:eastAsia="Times New Roman" w:hAnsi="Arial" w:cs="Arial"/>
          <w:color w:val="333333"/>
          <w:sz w:val="24"/>
          <w:szCs w:val="24"/>
          <w:lang w:eastAsia="en-GB"/>
        </w:rPr>
        <w:t xml:space="preserve">target </w:t>
      </w:r>
      <w:r w:rsidR="002D30BF" w:rsidRPr="002D30BF">
        <w:rPr>
          <w:rFonts w:ascii="Arial" w:eastAsia="Times New Roman" w:hAnsi="Arial" w:cs="Arial"/>
          <w:color w:val="333333"/>
          <w:sz w:val="24"/>
          <w:szCs w:val="24"/>
          <w:lang w:eastAsia="en-GB"/>
        </w:rPr>
        <w:t xml:space="preserve">within the </w:t>
      </w:r>
      <w:r w:rsidR="00A438F7">
        <w:rPr>
          <w:rFonts w:ascii="Arial" w:eastAsia="Times New Roman" w:hAnsi="Arial" w:cs="Arial"/>
          <w:color w:val="333333"/>
          <w:sz w:val="24"/>
          <w:szCs w:val="24"/>
          <w:lang w:eastAsia="en-GB"/>
        </w:rPr>
        <w:t xml:space="preserve">Group </w:t>
      </w:r>
      <w:r w:rsidR="002D30BF" w:rsidRPr="002D30BF">
        <w:rPr>
          <w:rFonts w:ascii="Arial" w:eastAsia="Times New Roman" w:hAnsi="Arial" w:cs="Arial"/>
          <w:color w:val="333333"/>
          <w:sz w:val="24"/>
          <w:szCs w:val="24"/>
          <w:lang w:eastAsia="en-GB"/>
        </w:rPr>
        <w:t>Parish</w:t>
      </w:r>
      <w:r w:rsidR="000646AE" w:rsidRPr="002D30BF">
        <w:rPr>
          <w:rFonts w:ascii="Arial" w:eastAsia="Times New Roman" w:hAnsi="Arial" w:cs="Arial"/>
          <w:color w:val="333333"/>
          <w:sz w:val="24"/>
          <w:szCs w:val="24"/>
          <w:lang w:eastAsia="en-GB"/>
        </w:rPr>
        <w:t xml:space="preserve"> over the 20 year period 2011 to 2031 will involve assessing how many houses should be accommodated within or adjacent to one or more of the named settlements in the Parish together with how many might come forward as dwellings </w:t>
      </w:r>
      <w:r>
        <w:rPr>
          <w:rFonts w:ascii="Arial" w:eastAsia="Times New Roman" w:hAnsi="Arial" w:cs="Arial"/>
          <w:color w:val="333333"/>
          <w:sz w:val="24"/>
          <w:szCs w:val="24"/>
          <w:lang w:eastAsia="en-GB"/>
        </w:rPr>
        <w:t xml:space="preserve">in the countryside , namely those </w:t>
      </w:r>
      <w:r w:rsidR="000646AE" w:rsidRPr="002D30BF">
        <w:rPr>
          <w:rFonts w:ascii="Arial" w:eastAsia="Times New Roman" w:hAnsi="Arial" w:cs="Arial"/>
          <w:color w:val="333333"/>
          <w:sz w:val="24"/>
          <w:szCs w:val="24"/>
          <w:lang w:eastAsia="en-GB"/>
        </w:rPr>
        <w:t>needed for farming and forestry, rural enterprises, the re-use of redundant or disused rural buildings, as rural exception sites for affordable housing, or as dwellings of exceptional or innovative design</w:t>
      </w:r>
      <w:r w:rsidR="00FA2273" w:rsidRPr="002D30BF">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Provision for the</w:t>
      </w:r>
      <w:r w:rsidR="00FA2273" w:rsidRPr="002D30BF">
        <w:rPr>
          <w:rFonts w:ascii="Arial" w:eastAsia="Times New Roman" w:hAnsi="Arial" w:cs="Arial"/>
          <w:color w:val="333333"/>
          <w:sz w:val="24"/>
          <w:szCs w:val="24"/>
          <w:lang w:eastAsia="en-GB"/>
        </w:rPr>
        <w:t>se dwelling</w:t>
      </w:r>
      <w:r>
        <w:rPr>
          <w:rFonts w:ascii="Arial" w:eastAsia="Times New Roman" w:hAnsi="Arial" w:cs="Arial"/>
          <w:color w:val="333333"/>
          <w:sz w:val="24"/>
          <w:szCs w:val="24"/>
          <w:lang w:eastAsia="en-GB"/>
        </w:rPr>
        <w:t>s in the countryside</w:t>
      </w:r>
      <w:r w:rsidR="00FA2273" w:rsidRPr="002D30BF">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is</w:t>
      </w:r>
      <w:r w:rsidR="00FA2273" w:rsidRPr="002D30BF">
        <w:rPr>
          <w:rFonts w:ascii="Arial" w:eastAsia="Times New Roman" w:hAnsi="Arial" w:cs="Arial"/>
          <w:color w:val="333333"/>
          <w:sz w:val="24"/>
          <w:szCs w:val="24"/>
          <w:lang w:eastAsia="en-GB"/>
        </w:rPr>
        <w:t xml:space="preserve"> covered generally by </w:t>
      </w:r>
      <w:r w:rsidR="00011FB2">
        <w:rPr>
          <w:rFonts w:ascii="Arial" w:eastAsia="Times New Roman" w:hAnsi="Arial" w:cs="Arial"/>
          <w:color w:val="333333"/>
          <w:sz w:val="24"/>
          <w:szCs w:val="24"/>
          <w:lang w:eastAsia="en-GB"/>
        </w:rPr>
        <w:t xml:space="preserve">Herefordshire </w:t>
      </w:r>
      <w:r w:rsidR="00FA2273" w:rsidRPr="002D30BF">
        <w:rPr>
          <w:rFonts w:ascii="Arial" w:eastAsia="Times New Roman" w:hAnsi="Arial" w:cs="Arial"/>
          <w:color w:val="333333"/>
          <w:sz w:val="24"/>
          <w:szCs w:val="24"/>
          <w:lang w:eastAsia="en-GB"/>
        </w:rPr>
        <w:t xml:space="preserve">Core Strategy Policy RA3. </w:t>
      </w:r>
    </w:p>
    <w:p w:rsidR="00AC78D9" w:rsidRDefault="002D30BF"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2D30BF">
        <w:rPr>
          <w:rFonts w:ascii="Arial" w:eastAsia="Times New Roman" w:hAnsi="Arial" w:cs="Arial"/>
          <w:color w:val="333333"/>
          <w:sz w:val="24"/>
          <w:szCs w:val="24"/>
          <w:lang w:eastAsia="en-GB"/>
        </w:rPr>
        <w:t>Given that the plan period starts in 2011, account can also be taken of new dwellings built and planning permissions for new houses that have already been granted since that date.</w:t>
      </w:r>
      <w:r w:rsidR="00AC78D9">
        <w:rPr>
          <w:rFonts w:ascii="Arial" w:eastAsia="Times New Roman" w:hAnsi="Arial" w:cs="Arial"/>
          <w:color w:val="333333"/>
          <w:sz w:val="24"/>
          <w:szCs w:val="24"/>
          <w:lang w:eastAsia="en-GB"/>
        </w:rPr>
        <w:t xml:space="preserve"> Herefordshire Core Strategy confirms this approach:</w:t>
      </w:r>
    </w:p>
    <w:p w:rsidR="00AC78D9" w:rsidRPr="00AC78D9" w:rsidRDefault="00AC78D9" w:rsidP="002335A1">
      <w:pPr>
        <w:autoSpaceDE w:val="0"/>
        <w:autoSpaceDN w:val="0"/>
        <w:adjustRightInd w:val="0"/>
        <w:spacing w:after="120" w:line="240" w:lineRule="auto"/>
        <w:ind w:left="709"/>
        <w:rPr>
          <w:rFonts w:ascii="Arial" w:hAnsi="Arial" w:cs="Arial"/>
          <w:i/>
          <w:sz w:val="24"/>
          <w:szCs w:val="24"/>
        </w:rPr>
      </w:pPr>
      <w:r>
        <w:rPr>
          <w:rFonts w:ascii="Arial" w:hAnsi="Arial" w:cs="Arial"/>
          <w:i/>
          <w:sz w:val="24"/>
          <w:szCs w:val="24"/>
        </w:rPr>
        <w:t>“</w:t>
      </w:r>
      <w:r w:rsidRPr="00AC78D9">
        <w:rPr>
          <w:rFonts w:ascii="Arial" w:hAnsi="Arial" w:cs="Arial"/>
          <w:i/>
          <w:sz w:val="24"/>
          <w:szCs w:val="24"/>
        </w:rPr>
        <w:t>4.8.9 Housing development in rural areas will be delivered through Neighbourhood Development Plans any required Rural Areas Site Allocations Development Plan Document and a combination of existing commitments and</w:t>
      </w:r>
      <w:r w:rsidR="007E03DA">
        <w:rPr>
          <w:rFonts w:ascii="Arial" w:hAnsi="Arial" w:cs="Arial"/>
          <w:i/>
          <w:sz w:val="24"/>
          <w:szCs w:val="24"/>
        </w:rPr>
        <w:t xml:space="preserve"> </w:t>
      </w:r>
      <w:r w:rsidRPr="00AC78D9">
        <w:rPr>
          <w:rFonts w:ascii="Arial" w:hAnsi="Arial" w:cs="Arial"/>
          <w:i/>
          <w:sz w:val="24"/>
          <w:szCs w:val="24"/>
        </w:rPr>
        <w:t xml:space="preserve">windfall development. </w:t>
      </w:r>
      <w:r>
        <w:rPr>
          <w:rFonts w:ascii="Arial" w:hAnsi="Arial" w:cs="Arial"/>
          <w:i/>
          <w:sz w:val="24"/>
          <w:szCs w:val="24"/>
        </w:rPr>
        <w:t>“</w:t>
      </w:r>
    </w:p>
    <w:p w:rsidR="002D30BF" w:rsidRDefault="002D30BF"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Consequently the calculation of the</w:t>
      </w:r>
      <w:r w:rsidR="009373F1">
        <w:rPr>
          <w:rFonts w:ascii="Arial" w:eastAsia="Times New Roman" w:hAnsi="Arial" w:cs="Arial"/>
          <w:color w:val="333333"/>
          <w:sz w:val="24"/>
          <w:szCs w:val="24"/>
          <w:lang w:eastAsia="en-GB"/>
        </w:rPr>
        <w:t xml:space="preserve"> minimum </w:t>
      </w:r>
      <w:r>
        <w:rPr>
          <w:rFonts w:ascii="Arial" w:eastAsia="Times New Roman" w:hAnsi="Arial" w:cs="Arial"/>
          <w:color w:val="333333"/>
          <w:sz w:val="24"/>
          <w:szCs w:val="24"/>
          <w:lang w:eastAsia="en-GB"/>
        </w:rPr>
        <w:t xml:space="preserve">housing target that </w:t>
      </w:r>
      <w:r w:rsidR="005F1269">
        <w:rPr>
          <w:rFonts w:ascii="Arial" w:eastAsia="Times New Roman" w:hAnsi="Arial" w:cs="Arial"/>
          <w:color w:val="333333"/>
          <w:sz w:val="24"/>
          <w:szCs w:val="24"/>
          <w:lang w:eastAsia="en-GB"/>
        </w:rPr>
        <w:t>HFSP</w:t>
      </w:r>
      <w:r w:rsidR="005F1269" w:rsidRPr="00D45240">
        <w:rPr>
          <w:rFonts w:ascii="Arial" w:eastAsia="Times New Roman" w:hAnsi="Arial" w:cs="Arial"/>
          <w:color w:val="333333"/>
          <w:sz w:val="24"/>
          <w:szCs w:val="24"/>
          <w:lang w:eastAsia="en-GB"/>
        </w:rPr>
        <w:t>NDP</w:t>
      </w:r>
      <w:r>
        <w:rPr>
          <w:rFonts w:ascii="Arial" w:eastAsia="Times New Roman" w:hAnsi="Arial" w:cs="Arial"/>
          <w:color w:val="333333"/>
          <w:sz w:val="24"/>
          <w:szCs w:val="24"/>
          <w:lang w:eastAsia="en-GB"/>
        </w:rPr>
        <w:t xml:space="preserve"> should make provision </w:t>
      </w:r>
      <w:r w:rsidR="00D93531">
        <w:rPr>
          <w:rFonts w:ascii="Arial" w:eastAsia="Times New Roman" w:hAnsi="Arial" w:cs="Arial"/>
          <w:color w:val="333333"/>
          <w:sz w:val="24"/>
          <w:szCs w:val="24"/>
          <w:lang w:eastAsia="en-GB"/>
        </w:rPr>
        <w:t xml:space="preserve">for </w:t>
      </w:r>
      <w:r>
        <w:rPr>
          <w:rFonts w:ascii="Arial" w:eastAsia="Times New Roman" w:hAnsi="Arial" w:cs="Arial"/>
          <w:color w:val="333333"/>
          <w:sz w:val="24"/>
          <w:szCs w:val="24"/>
          <w:lang w:eastAsia="en-GB"/>
        </w:rPr>
        <w:t xml:space="preserve">within or adjacent to one or more of its named settlements should be based </w:t>
      </w:r>
      <w:r w:rsidR="00E804D5">
        <w:rPr>
          <w:rFonts w:ascii="Arial" w:eastAsia="Times New Roman" w:hAnsi="Arial" w:cs="Arial"/>
          <w:color w:val="333333"/>
          <w:sz w:val="24"/>
          <w:szCs w:val="24"/>
          <w:lang w:eastAsia="en-GB"/>
        </w:rPr>
        <w:t xml:space="preserve">upon </w:t>
      </w:r>
      <w:r>
        <w:rPr>
          <w:rFonts w:ascii="Arial" w:eastAsia="Times New Roman" w:hAnsi="Arial" w:cs="Arial"/>
          <w:color w:val="333333"/>
          <w:sz w:val="24"/>
          <w:szCs w:val="24"/>
          <w:lang w:eastAsia="en-GB"/>
        </w:rPr>
        <w:t xml:space="preserve">the target level required within the Parish as a whole </w:t>
      </w:r>
      <w:r w:rsidR="00D93531">
        <w:rPr>
          <w:rFonts w:ascii="Arial" w:eastAsia="Times New Roman" w:hAnsi="Arial" w:cs="Arial"/>
          <w:color w:val="333333"/>
          <w:sz w:val="24"/>
          <w:szCs w:val="24"/>
          <w:lang w:eastAsia="en-GB"/>
        </w:rPr>
        <w:t xml:space="preserve">(i.e. </w:t>
      </w:r>
      <w:r w:rsidR="00A438F7">
        <w:rPr>
          <w:rFonts w:ascii="Arial" w:eastAsia="Times New Roman" w:hAnsi="Arial" w:cs="Arial"/>
          <w:color w:val="333333"/>
          <w:sz w:val="24"/>
          <w:szCs w:val="24"/>
          <w:lang w:eastAsia="en-GB"/>
        </w:rPr>
        <w:t>43</w:t>
      </w:r>
      <w:r w:rsidR="00D93531">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less the following:</w:t>
      </w:r>
    </w:p>
    <w:p w:rsidR="002D30BF" w:rsidRDefault="002D30BF" w:rsidP="002335A1">
      <w:pPr>
        <w:pStyle w:val="ListParagraph"/>
        <w:numPr>
          <w:ilvl w:val="0"/>
          <w:numId w:val="2"/>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number of dwellings built since April 2011;</w:t>
      </w:r>
    </w:p>
    <w:p w:rsidR="002D30BF" w:rsidRDefault="002D30BF" w:rsidP="002335A1">
      <w:pPr>
        <w:pStyle w:val="ListParagraph"/>
        <w:numPr>
          <w:ilvl w:val="0"/>
          <w:numId w:val="2"/>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number of dwellings resulting from as yet unimplemented but outstanding planning permissions;</w:t>
      </w:r>
    </w:p>
    <w:p w:rsidR="002D30BF" w:rsidRDefault="002D30BF" w:rsidP="002335A1">
      <w:pPr>
        <w:pStyle w:val="ListParagraph"/>
        <w:numPr>
          <w:ilvl w:val="0"/>
          <w:numId w:val="2"/>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An assessment of the number of dwellings likely to arise as a consequence of planning permissions granted under </w:t>
      </w:r>
      <w:r w:rsidR="00011FB2">
        <w:rPr>
          <w:rFonts w:ascii="Arial" w:eastAsia="Times New Roman" w:hAnsi="Arial" w:cs="Arial"/>
          <w:color w:val="333333"/>
          <w:sz w:val="24"/>
          <w:szCs w:val="24"/>
          <w:lang w:eastAsia="en-GB"/>
        </w:rPr>
        <w:t xml:space="preserve">Herefordshire </w:t>
      </w:r>
      <w:r>
        <w:rPr>
          <w:rFonts w:ascii="Arial" w:eastAsia="Times New Roman" w:hAnsi="Arial" w:cs="Arial"/>
          <w:color w:val="333333"/>
          <w:sz w:val="24"/>
          <w:szCs w:val="24"/>
          <w:lang w:eastAsia="en-GB"/>
        </w:rPr>
        <w:t>Core Strategy Policy RA3 between now and April 2031 (hereafter termed ‘rural windfalls’).</w:t>
      </w:r>
    </w:p>
    <w:p w:rsidR="00F703DB" w:rsidRDefault="00857007"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residue will then suggest the minimum level required to be provided through sites within or adjacent to the named settlements</w:t>
      </w:r>
      <w:r w:rsidR="00630F44">
        <w:rPr>
          <w:rFonts w:ascii="Arial" w:eastAsia="Times New Roman" w:hAnsi="Arial" w:cs="Arial"/>
          <w:color w:val="333333"/>
          <w:sz w:val="24"/>
          <w:szCs w:val="24"/>
          <w:lang w:eastAsia="en-GB"/>
        </w:rPr>
        <w:t xml:space="preserve">. </w:t>
      </w:r>
    </w:p>
    <w:p w:rsidR="00CD437F" w:rsidRDefault="00246DD8"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lastRenderedPageBreak/>
        <w:t xml:space="preserve">Herefordshire Council has advised that </w:t>
      </w:r>
      <w:r w:rsidR="003D12F8">
        <w:rPr>
          <w:rFonts w:ascii="Arial" w:eastAsia="Times New Roman" w:hAnsi="Arial" w:cs="Arial"/>
          <w:color w:val="333333"/>
          <w:sz w:val="24"/>
          <w:szCs w:val="24"/>
          <w:lang w:eastAsia="en-GB"/>
        </w:rPr>
        <w:t xml:space="preserve">no </w:t>
      </w:r>
      <w:r>
        <w:rPr>
          <w:rFonts w:ascii="Arial" w:eastAsia="Times New Roman" w:hAnsi="Arial" w:cs="Arial"/>
          <w:color w:val="333333"/>
          <w:sz w:val="24"/>
          <w:szCs w:val="24"/>
          <w:lang w:eastAsia="en-GB"/>
        </w:rPr>
        <w:t xml:space="preserve">houses </w:t>
      </w:r>
      <w:r w:rsidR="00230B4E">
        <w:rPr>
          <w:rFonts w:ascii="Arial" w:eastAsia="Times New Roman" w:hAnsi="Arial" w:cs="Arial"/>
          <w:color w:val="333333"/>
          <w:sz w:val="24"/>
          <w:szCs w:val="24"/>
          <w:lang w:eastAsia="en-GB"/>
        </w:rPr>
        <w:t xml:space="preserve">were </w:t>
      </w:r>
      <w:r>
        <w:rPr>
          <w:rFonts w:ascii="Arial" w:eastAsia="Times New Roman" w:hAnsi="Arial" w:cs="Arial"/>
          <w:color w:val="333333"/>
          <w:sz w:val="24"/>
          <w:szCs w:val="24"/>
          <w:lang w:eastAsia="en-GB"/>
        </w:rPr>
        <w:t xml:space="preserve">completed over the period 2011 – </w:t>
      </w:r>
      <w:r w:rsidRPr="00230B4E">
        <w:rPr>
          <w:rFonts w:ascii="Arial" w:eastAsia="Times New Roman" w:hAnsi="Arial" w:cs="Arial"/>
          <w:color w:val="333333"/>
          <w:sz w:val="24"/>
          <w:szCs w:val="24"/>
          <w:lang w:eastAsia="en-GB"/>
        </w:rPr>
        <w:t>2014,</w:t>
      </w:r>
      <w:r>
        <w:rPr>
          <w:rFonts w:ascii="Arial" w:eastAsia="Times New Roman" w:hAnsi="Arial" w:cs="Arial"/>
          <w:color w:val="333333"/>
          <w:sz w:val="24"/>
          <w:szCs w:val="24"/>
          <w:lang w:eastAsia="en-GB"/>
        </w:rPr>
        <w:t xml:space="preserve"> while </w:t>
      </w:r>
      <w:r w:rsidR="00785358">
        <w:rPr>
          <w:rFonts w:ascii="Arial" w:eastAsia="Times New Roman" w:hAnsi="Arial" w:cs="Arial"/>
          <w:color w:val="333333"/>
          <w:sz w:val="24"/>
          <w:szCs w:val="24"/>
          <w:lang w:eastAsia="en-GB"/>
        </w:rPr>
        <w:t xml:space="preserve">over the same period </w:t>
      </w:r>
      <w:r>
        <w:rPr>
          <w:rFonts w:ascii="Arial" w:eastAsia="Times New Roman" w:hAnsi="Arial" w:cs="Arial"/>
          <w:color w:val="333333"/>
          <w:sz w:val="24"/>
          <w:szCs w:val="24"/>
          <w:lang w:eastAsia="en-GB"/>
        </w:rPr>
        <w:t>planning permission</w:t>
      </w:r>
      <w:r w:rsidR="003D12F8">
        <w:rPr>
          <w:rFonts w:ascii="Arial" w:eastAsia="Times New Roman" w:hAnsi="Arial" w:cs="Arial"/>
          <w:color w:val="333333"/>
          <w:sz w:val="24"/>
          <w:szCs w:val="24"/>
          <w:lang w:eastAsia="en-GB"/>
        </w:rPr>
        <w:t>s for some 6 dwellings were granted</w:t>
      </w:r>
      <w:r>
        <w:rPr>
          <w:rFonts w:ascii="Arial" w:eastAsia="Times New Roman" w:hAnsi="Arial" w:cs="Arial"/>
          <w:color w:val="333333"/>
          <w:sz w:val="24"/>
          <w:szCs w:val="24"/>
          <w:lang w:eastAsia="en-GB"/>
        </w:rPr>
        <w:t xml:space="preserve"> but ha</w:t>
      </w:r>
      <w:r w:rsidR="00230B4E">
        <w:rPr>
          <w:rFonts w:ascii="Arial" w:eastAsia="Times New Roman" w:hAnsi="Arial" w:cs="Arial"/>
          <w:color w:val="333333"/>
          <w:sz w:val="24"/>
          <w:szCs w:val="24"/>
          <w:lang w:eastAsia="en-GB"/>
        </w:rPr>
        <w:t>d</w:t>
      </w:r>
      <w:r>
        <w:rPr>
          <w:rFonts w:ascii="Arial" w:eastAsia="Times New Roman" w:hAnsi="Arial" w:cs="Arial"/>
          <w:color w:val="333333"/>
          <w:sz w:val="24"/>
          <w:szCs w:val="24"/>
          <w:lang w:eastAsia="en-GB"/>
        </w:rPr>
        <w:t xml:space="preserve"> </w:t>
      </w:r>
      <w:r w:rsidR="00230B4E">
        <w:rPr>
          <w:rFonts w:ascii="Arial" w:eastAsia="Times New Roman" w:hAnsi="Arial" w:cs="Arial"/>
          <w:color w:val="333333"/>
          <w:sz w:val="24"/>
          <w:szCs w:val="24"/>
          <w:lang w:eastAsia="en-GB"/>
        </w:rPr>
        <w:t xml:space="preserve">not been </w:t>
      </w:r>
      <w:r>
        <w:rPr>
          <w:rFonts w:ascii="Arial" w:eastAsia="Times New Roman" w:hAnsi="Arial" w:cs="Arial"/>
          <w:color w:val="333333"/>
          <w:sz w:val="24"/>
          <w:szCs w:val="24"/>
          <w:lang w:eastAsia="en-GB"/>
        </w:rPr>
        <w:t>completed.</w:t>
      </w:r>
      <w:r w:rsidR="00785358">
        <w:rPr>
          <w:rFonts w:ascii="Arial" w:eastAsia="Times New Roman" w:hAnsi="Arial" w:cs="Arial"/>
          <w:color w:val="333333"/>
          <w:sz w:val="24"/>
          <w:szCs w:val="24"/>
          <w:lang w:eastAsia="en-GB"/>
        </w:rPr>
        <w:t xml:space="preserve"> </w:t>
      </w:r>
    </w:p>
    <w:p w:rsidR="00785358" w:rsidRPr="00785358" w:rsidRDefault="00785358" w:rsidP="002335A1">
      <w:pPr>
        <w:pStyle w:val="ListParagraph"/>
        <w:numPr>
          <w:ilvl w:val="0"/>
          <w:numId w:val="1"/>
        </w:numPr>
        <w:spacing w:after="120" w:line="240" w:lineRule="auto"/>
        <w:ind w:left="709" w:hanging="709"/>
        <w:contextualSpacing w:val="0"/>
        <w:outlineLvl w:val="1"/>
        <w:rPr>
          <w:rFonts w:ascii="Arial" w:eastAsia="Times New Roman" w:hAnsi="Arial" w:cs="Arial"/>
          <w:b/>
          <w:color w:val="333333"/>
          <w:sz w:val="24"/>
          <w:szCs w:val="24"/>
          <w:lang w:eastAsia="en-GB"/>
        </w:rPr>
      </w:pPr>
      <w:r w:rsidRPr="00785358">
        <w:rPr>
          <w:rFonts w:ascii="Arial" w:eastAsia="Times New Roman" w:hAnsi="Arial" w:cs="Arial"/>
          <w:b/>
          <w:color w:val="333333"/>
          <w:sz w:val="24"/>
          <w:szCs w:val="24"/>
          <w:lang w:eastAsia="en-GB"/>
        </w:rPr>
        <w:t>Windfall</w:t>
      </w:r>
      <w:r w:rsidR="00F54DD5">
        <w:rPr>
          <w:rFonts w:ascii="Arial" w:eastAsia="Times New Roman" w:hAnsi="Arial" w:cs="Arial"/>
          <w:b/>
          <w:color w:val="333333"/>
          <w:sz w:val="24"/>
          <w:szCs w:val="24"/>
          <w:lang w:eastAsia="en-GB"/>
        </w:rPr>
        <w:t xml:space="preserve"> Provision</w:t>
      </w:r>
    </w:p>
    <w:p w:rsidR="00785358" w:rsidRPr="00E804D5" w:rsidRDefault="004A387C"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Paragraph 48 of the </w:t>
      </w:r>
      <w:r w:rsidR="00990E49" w:rsidRPr="00990E49">
        <w:rPr>
          <w:rFonts w:ascii="Arial" w:eastAsia="Times New Roman" w:hAnsi="Arial" w:cs="Arial"/>
          <w:color w:val="333333"/>
          <w:sz w:val="24"/>
          <w:szCs w:val="24"/>
          <w:lang w:eastAsia="en-GB"/>
        </w:rPr>
        <w:t xml:space="preserve">National Planning Policy Framework (NPPF) provides </w:t>
      </w:r>
      <w:r>
        <w:rPr>
          <w:rFonts w:ascii="Arial" w:eastAsia="Times New Roman" w:hAnsi="Arial" w:cs="Arial"/>
          <w:color w:val="333333"/>
          <w:sz w:val="24"/>
          <w:szCs w:val="24"/>
          <w:lang w:eastAsia="en-GB"/>
        </w:rPr>
        <w:t xml:space="preserve">some advice upon </w:t>
      </w:r>
      <w:r w:rsidR="00E804D5">
        <w:rPr>
          <w:rFonts w:ascii="Arial" w:eastAsia="Times New Roman" w:hAnsi="Arial" w:cs="Arial"/>
          <w:color w:val="333333"/>
          <w:sz w:val="24"/>
          <w:szCs w:val="24"/>
          <w:lang w:eastAsia="en-GB"/>
        </w:rPr>
        <w:t xml:space="preserve">how to </w:t>
      </w:r>
      <w:r>
        <w:rPr>
          <w:rFonts w:ascii="Arial" w:eastAsia="Times New Roman" w:hAnsi="Arial" w:cs="Arial"/>
          <w:color w:val="333333"/>
          <w:sz w:val="24"/>
          <w:szCs w:val="24"/>
          <w:lang w:eastAsia="en-GB"/>
        </w:rPr>
        <w:t>assess any windfall</w:t>
      </w:r>
      <w:r w:rsidR="00990E49" w:rsidRPr="00990E49">
        <w:rPr>
          <w:rFonts w:ascii="Arial" w:eastAsia="Times New Roman" w:hAnsi="Arial" w:cs="Arial"/>
          <w:color w:val="333333"/>
          <w:sz w:val="24"/>
          <w:szCs w:val="24"/>
          <w:lang w:eastAsia="en-GB"/>
        </w:rPr>
        <w:t xml:space="preserve"> allowance </w:t>
      </w:r>
      <w:r>
        <w:rPr>
          <w:rFonts w:ascii="Arial" w:eastAsia="Times New Roman" w:hAnsi="Arial" w:cs="Arial"/>
          <w:color w:val="333333"/>
          <w:sz w:val="24"/>
          <w:szCs w:val="24"/>
          <w:lang w:eastAsia="en-GB"/>
        </w:rPr>
        <w:t>indicating it should have</w:t>
      </w:r>
      <w:r w:rsidR="00775871">
        <w:rPr>
          <w:rFonts w:ascii="Arial" w:eastAsia="Times New Roman" w:hAnsi="Arial" w:cs="Arial"/>
          <w:color w:val="333333"/>
          <w:sz w:val="24"/>
          <w:szCs w:val="24"/>
          <w:lang w:eastAsia="en-GB"/>
        </w:rPr>
        <w:t xml:space="preserve"> regard to the Strategic Housing Land Availability Assessment, historic windfall delivery rates and expected future trends.</w:t>
      </w:r>
      <w:r w:rsidR="00775871" w:rsidRPr="00775871">
        <w:rPr>
          <w:rFonts w:ascii="Arial" w:eastAsia="Times New Roman" w:hAnsi="Arial" w:cs="Arial"/>
          <w:color w:val="333333"/>
          <w:sz w:val="24"/>
          <w:szCs w:val="24"/>
          <w:u w:val="single"/>
          <w:lang w:eastAsia="en-GB"/>
        </w:rPr>
        <w:t xml:space="preserve"> </w:t>
      </w:r>
    </w:p>
    <w:p w:rsidR="00E804D5" w:rsidRPr="00E804D5" w:rsidRDefault="00E804D5"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E804D5">
        <w:rPr>
          <w:rFonts w:ascii="Arial" w:eastAsia="Times New Roman" w:hAnsi="Arial" w:cs="Arial"/>
          <w:color w:val="333333"/>
          <w:sz w:val="24"/>
          <w:szCs w:val="24"/>
          <w:lang w:eastAsia="en-GB"/>
        </w:rPr>
        <w:t>The Strategic Housing Land Assessment</w:t>
      </w:r>
      <w:r>
        <w:rPr>
          <w:rFonts w:ascii="Arial" w:eastAsia="Times New Roman" w:hAnsi="Arial" w:cs="Arial"/>
          <w:color w:val="333333"/>
          <w:sz w:val="24"/>
          <w:szCs w:val="24"/>
          <w:lang w:eastAsia="en-GB"/>
        </w:rPr>
        <w:t xml:space="preserve"> would assist the identification of site allocations should any be necessary.</w:t>
      </w:r>
    </w:p>
    <w:p w:rsidR="004D448F" w:rsidRDefault="00AC78D9"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Herefordshire Council </w:t>
      </w:r>
      <w:r w:rsidR="004D448F">
        <w:rPr>
          <w:rFonts w:ascii="Arial" w:eastAsia="Times New Roman" w:hAnsi="Arial" w:cs="Arial"/>
          <w:color w:val="333333"/>
          <w:sz w:val="24"/>
          <w:szCs w:val="24"/>
          <w:lang w:eastAsia="en-GB"/>
        </w:rPr>
        <w:t>has not assessed the potential levels of windfall developments within individual Housing Market Areas</w:t>
      </w:r>
      <w:r w:rsidR="004A387C">
        <w:rPr>
          <w:rFonts w:ascii="Arial" w:eastAsia="Times New Roman" w:hAnsi="Arial" w:cs="Arial"/>
          <w:color w:val="333333"/>
          <w:sz w:val="24"/>
          <w:szCs w:val="24"/>
          <w:lang w:eastAsia="en-GB"/>
        </w:rPr>
        <w:t xml:space="preserve"> but</w:t>
      </w:r>
      <w:r w:rsidR="004D448F">
        <w:rPr>
          <w:rFonts w:ascii="Arial" w:eastAsia="Times New Roman" w:hAnsi="Arial" w:cs="Arial"/>
          <w:color w:val="333333"/>
          <w:sz w:val="24"/>
          <w:szCs w:val="24"/>
          <w:lang w:eastAsia="en-GB"/>
        </w:rPr>
        <w:t xml:space="preserve"> suggest</w:t>
      </w:r>
      <w:r w:rsidR="004A387C">
        <w:rPr>
          <w:rFonts w:ascii="Arial" w:eastAsia="Times New Roman" w:hAnsi="Arial" w:cs="Arial"/>
          <w:color w:val="333333"/>
          <w:sz w:val="24"/>
          <w:szCs w:val="24"/>
          <w:lang w:eastAsia="en-GB"/>
        </w:rPr>
        <w:t>s</w:t>
      </w:r>
      <w:r w:rsidR="004D448F">
        <w:rPr>
          <w:rFonts w:ascii="Arial" w:eastAsia="Times New Roman" w:hAnsi="Arial" w:cs="Arial"/>
          <w:color w:val="333333"/>
          <w:sz w:val="24"/>
          <w:szCs w:val="24"/>
          <w:lang w:eastAsia="en-GB"/>
        </w:rPr>
        <w:t xml:space="preserve"> a modest level of provision across the County’s rural area</w:t>
      </w:r>
      <w:r w:rsidR="00E804D5">
        <w:rPr>
          <w:rFonts w:ascii="Arial" w:eastAsia="Times New Roman" w:hAnsi="Arial" w:cs="Arial"/>
          <w:color w:val="333333"/>
          <w:sz w:val="24"/>
          <w:szCs w:val="24"/>
          <w:lang w:eastAsia="en-GB"/>
        </w:rPr>
        <w:t xml:space="preserve"> as a whole</w:t>
      </w:r>
      <w:r w:rsidR="004D448F">
        <w:rPr>
          <w:rFonts w:ascii="Arial" w:eastAsia="Times New Roman" w:hAnsi="Arial" w:cs="Arial"/>
          <w:color w:val="333333"/>
          <w:sz w:val="24"/>
          <w:szCs w:val="24"/>
          <w:lang w:eastAsia="en-GB"/>
        </w:rPr>
        <w:t>:</w:t>
      </w:r>
    </w:p>
    <w:p w:rsidR="004D448F" w:rsidRPr="004D448F" w:rsidRDefault="004D448F" w:rsidP="002335A1">
      <w:pPr>
        <w:pStyle w:val="Default"/>
        <w:spacing w:after="120"/>
        <w:ind w:left="709"/>
        <w:rPr>
          <w:rFonts w:eastAsia="Times New Roman"/>
          <w:color w:val="333333"/>
          <w:lang w:eastAsia="en-GB"/>
        </w:rPr>
      </w:pPr>
      <w:r>
        <w:rPr>
          <w:i/>
          <w:color w:val="auto"/>
        </w:rPr>
        <w:t>“</w:t>
      </w:r>
      <w:r w:rsidRPr="004D448F">
        <w:rPr>
          <w:i/>
          <w:color w:val="auto"/>
        </w:rPr>
        <w:t>4.8.10 Past rates of housing completions in the rural areas suggest that this level of growth</w:t>
      </w:r>
      <w:r w:rsidR="004A387C">
        <w:rPr>
          <w:i/>
          <w:color w:val="auto"/>
        </w:rPr>
        <w:t xml:space="preserve"> </w:t>
      </w:r>
      <w:r w:rsidR="004A387C" w:rsidRPr="004A387C">
        <w:rPr>
          <w:color w:val="auto"/>
        </w:rPr>
        <w:t>(i.e. 5,300 dwellings)</w:t>
      </w:r>
      <w:r w:rsidRPr="004D448F">
        <w:rPr>
          <w:i/>
          <w:color w:val="auto"/>
        </w:rPr>
        <w:t xml:space="preserve"> is appropriate and achievable. Historically it is evident that much rural housing has come forward on small sites, often for individual dwellings, being allowed through the application of planning policy rather than the allocation of housing sites. Additionally, significant numbers of new housing continues to be delivered through the conversion of rural buildings, many being redundant agricultural buildings on farmsteads. Paragraph 48 of NPPF indicates that an allowance may be made for windfall if there is compelling evidence that such sites have consistently become available in the local area and will continue to provide a reliable source. There is clear evidence over many years that such sites have delivered an important element of the county’s housing supply and as such a modest windfall allowance for rural areas has been included of 1000 dwellings (50 per annum).</w:t>
      </w:r>
      <w:r>
        <w:rPr>
          <w:i/>
          <w:color w:val="auto"/>
        </w:rPr>
        <w:t>”</w:t>
      </w:r>
      <w:r w:rsidRPr="004D448F">
        <w:rPr>
          <w:i/>
          <w:color w:val="auto"/>
        </w:rPr>
        <w:t xml:space="preserve"> </w:t>
      </w:r>
      <w:r>
        <w:rPr>
          <w:rFonts w:eastAsia="Times New Roman"/>
          <w:color w:val="333333"/>
          <w:lang w:eastAsia="en-GB"/>
        </w:rPr>
        <w:tab/>
        <w:t xml:space="preserve"> </w:t>
      </w:r>
    </w:p>
    <w:p w:rsidR="00CB1187" w:rsidRDefault="00B53BFF"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It is understood that the modest windfall allowance of 1,000 dwellings represents a significant reduction upon the past rate although it reflects the level of housing development that would be expected to result from planning permissions granted through</w:t>
      </w:r>
      <w:r w:rsidR="00011FB2">
        <w:rPr>
          <w:rFonts w:ascii="Arial" w:eastAsia="Times New Roman" w:hAnsi="Arial" w:cs="Arial"/>
          <w:color w:val="333333"/>
          <w:sz w:val="24"/>
          <w:szCs w:val="24"/>
          <w:lang w:eastAsia="en-GB"/>
        </w:rPr>
        <w:t xml:space="preserve"> Herefordshire</w:t>
      </w:r>
      <w:r>
        <w:rPr>
          <w:rFonts w:ascii="Arial" w:eastAsia="Times New Roman" w:hAnsi="Arial" w:cs="Arial"/>
          <w:color w:val="333333"/>
          <w:sz w:val="24"/>
          <w:szCs w:val="24"/>
          <w:lang w:eastAsia="en-GB"/>
        </w:rPr>
        <w:t xml:space="preserve"> Core Strategy Policy RA3. In this regard it would not include </w:t>
      </w:r>
      <w:r w:rsidR="00B3734E" w:rsidRPr="00B53BFF">
        <w:rPr>
          <w:rFonts w:ascii="Arial" w:eastAsia="Times New Roman" w:hAnsi="Arial" w:cs="Arial"/>
          <w:color w:val="333333"/>
          <w:sz w:val="24"/>
          <w:szCs w:val="24"/>
          <w:lang w:eastAsia="en-GB"/>
        </w:rPr>
        <w:t>small</w:t>
      </w:r>
      <w:r w:rsidR="0055002E" w:rsidRPr="00B53BFF">
        <w:rPr>
          <w:rFonts w:ascii="Arial" w:eastAsia="Times New Roman" w:hAnsi="Arial" w:cs="Arial"/>
          <w:color w:val="333333"/>
          <w:sz w:val="24"/>
          <w:szCs w:val="24"/>
          <w:lang w:eastAsia="en-GB"/>
        </w:rPr>
        <w:t xml:space="preserve"> and/or medium sized</w:t>
      </w:r>
      <w:r w:rsidR="00B3734E" w:rsidRPr="00B53BFF">
        <w:rPr>
          <w:rFonts w:ascii="Arial" w:eastAsia="Times New Roman" w:hAnsi="Arial" w:cs="Arial"/>
          <w:color w:val="333333"/>
          <w:sz w:val="24"/>
          <w:szCs w:val="24"/>
          <w:lang w:eastAsia="en-GB"/>
        </w:rPr>
        <w:t xml:space="preserve"> sites within settlement boundaries</w:t>
      </w:r>
      <w:r w:rsidR="0055002E">
        <w:rPr>
          <w:rFonts w:ascii="Arial" w:eastAsia="Times New Roman" w:hAnsi="Arial" w:cs="Arial"/>
          <w:color w:val="333333"/>
          <w:sz w:val="24"/>
          <w:szCs w:val="24"/>
          <w:lang w:eastAsia="en-GB"/>
        </w:rPr>
        <w:t>.</w:t>
      </w:r>
      <w:r w:rsidR="00B3734E">
        <w:rPr>
          <w:rFonts w:ascii="Arial" w:eastAsia="Times New Roman" w:hAnsi="Arial" w:cs="Arial"/>
          <w:color w:val="333333"/>
          <w:sz w:val="24"/>
          <w:szCs w:val="24"/>
          <w:lang w:eastAsia="en-GB"/>
        </w:rPr>
        <w:t xml:space="preserve">  </w:t>
      </w:r>
    </w:p>
    <w:p w:rsidR="00990E49" w:rsidRDefault="004D448F"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w:t>
      </w:r>
      <w:r w:rsidR="00CB1187">
        <w:rPr>
          <w:rFonts w:ascii="Arial" w:eastAsia="Times New Roman" w:hAnsi="Arial" w:cs="Arial"/>
          <w:color w:val="333333"/>
          <w:sz w:val="24"/>
          <w:szCs w:val="24"/>
          <w:lang w:eastAsia="en-GB"/>
        </w:rPr>
        <w:t xml:space="preserve">e 1,000 houses </w:t>
      </w:r>
      <w:r>
        <w:rPr>
          <w:rFonts w:ascii="Arial" w:eastAsia="Times New Roman" w:hAnsi="Arial" w:cs="Arial"/>
          <w:color w:val="333333"/>
          <w:sz w:val="24"/>
          <w:szCs w:val="24"/>
          <w:lang w:eastAsia="en-GB"/>
        </w:rPr>
        <w:t>amount to some 19% of the rural housing target</w:t>
      </w:r>
      <w:r w:rsidR="00990E49">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of 5,300.</w:t>
      </w:r>
    </w:p>
    <w:p w:rsidR="00F54DD5" w:rsidRDefault="00B3734E"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 </w:t>
      </w:r>
      <w:r w:rsidR="00F54DD5">
        <w:rPr>
          <w:rFonts w:ascii="Arial" w:eastAsia="Times New Roman" w:hAnsi="Arial" w:cs="Arial"/>
          <w:color w:val="333333"/>
          <w:sz w:val="24"/>
          <w:szCs w:val="24"/>
          <w:lang w:eastAsia="en-GB"/>
        </w:rPr>
        <w:t xml:space="preserve">Previously only </w:t>
      </w:r>
      <w:r w:rsidR="00A438F7">
        <w:rPr>
          <w:rFonts w:ascii="Arial" w:eastAsia="Times New Roman" w:hAnsi="Arial" w:cs="Arial"/>
          <w:color w:val="333333"/>
          <w:sz w:val="24"/>
          <w:szCs w:val="24"/>
          <w:lang w:eastAsia="en-GB"/>
        </w:rPr>
        <w:t xml:space="preserve">Stoke Prior </w:t>
      </w:r>
      <w:r w:rsidR="00F54DD5">
        <w:rPr>
          <w:rFonts w:ascii="Arial" w:eastAsia="Times New Roman" w:hAnsi="Arial" w:cs="Arial"/>
          <w:color w:val="333333"/>
          <w:sz w:val="24"/>
          <w:szCs w:val="24"/>
          <w:lang w:eastAsia="en-GB"/>
        </w:rPr>
        <w:t xml:space="preserve">was identified in Herefordshire Unitary Development Plan (UDP) as a </w:t>
      </w:r>
      <w:r w:rsidR="00A438F7">
        <w:rPr>
          <w:rFonts w:ascii="Arial" w:eastAsia="Times New Roman" w:hAnsi="Arial" w:cs="Arial"/>
          <w:color w:val="333333"/>
          <w:sz w:val="24"/>
          <w:szCs w:val="24"/>
          <w:lang w:eastAsia="en-GB"/>
        </w:rPr>
        <w:t xml:space="preserve">‘small </w:t>
      </w:r>
      <w:r w:rsidR="00F54DD5">
        <w:rPr>
          <w:rFonts w:ascii="Arial" w:eastAsia="Times New Roman" w:hAnsi="Arial" w:cs="Arial"/>
          <w:color w:val="333333"/>
          <w:sz w:val="24"/>
          <w:szCs w:val="24"/>
          <w:lang w:eastAsia="en-GB"/>
        </w:rPr>
        <w:t>settlement</w:t>
      </w:r>
      <w:r w:rsidR="00A438F7">
        <w:rPr>
          <w:rFonts w:ascii="Arial" w:eastAsia="Times New Roman" w:hAnsi="Arial" w:cs="Arial"/>
          <w:color w:val="333333"/>
          <w:sz w:val="24"/>
          <w:szCs w:val="24"/>
          <w:lang w:eastAsia="en-GB"/>
        </w:rPr>
        <w:t>’</w:t>
      </w:r>
      <w:r w:rsidR="00F54DD5">
        <w:rPr>
          <w:rFonts w:ascii="Arial" w:eastAsia="Times New Roman" w:hAnsi="Arial" w:cs="Arial"/>
          <w:color w:val="333333"/>
          <w:sz w:val="24"/>
          <w:szCs w:val="24"/>
          <w:lang w:eastAsia="en-GB"/>
        </w:rPr>
        <w:t xml:space="preserve"> to accommodate housing development</w:t>
      </w:r>
      <w:r w:rsidR="00A438F7">
        <w:rPr>
          <w:rFonts w:ascii="Arial" w:eastAsia="Times New Roman" w:hAnsi="Arial" w:cs="Arial"/>
          <w:color w:val="333333"/>
          <w:sz w:val="24"/>
          <w:szCs w:val="24"/>
          <w:lang w:eastAsia="en-GB"/>
        </w:rPr>
        <w:t xml:space="preserve"> through Policy H6 which allowed infilling of small gaps</w:t>
      </w:r>
      <w:r w:rsidR="003511F7">
        <w:rPr>
          <w:rFonts w:ascii="Arial" w:eastAsia="Times New Roman" w:hAnsi="Arial" w:cs="Arial"/>
          <w:color w:val="333333"/>
          <w:sz w:val="24"/>
          <w:szCs w:val="24"/>
          <w:lang w:eastAsia="en-GB"/>
        </w:rPr>
        <w:t xml:space="preserve"> (see Appendix 2)</w:t>
      </w:r>
      <w:r w:rsidR="00A438F7">
        <w:rPr>
          <w:rFonts w:ascii="Arial" w:eastAsia="Times New Roman" w:hAnsi="Arial" w:cs="Arial"/>
          <w:color w:val="333333"/>
          <w:sz w:val="24"/>
          <w:szCs w:val="24"/>
          <w:lang w:eastAsia="en-GB"/>
        </w:rPr>
        <w:t>.</w:t>
      </w:r>
      <w:r w:rsidR="00F54DD5">
        <w:rPr>
          <w:rFonts w:ascii="Arial" w:eastAsia="Times New Roman" w:hAnsi="Arial" w:cs="Arial"/>
          <w:color w:val="333333"/>
          <w:sz w:val="24"/>
          <w:szCs w:val="24"/>
          <w:lang w:eastAsia="en-GB"/>
        </w:rPr>
        <w:t xml:space="preserve"> Th</w:t>
      </w:r>
      <w:r w:rsidR="00A438F7">
        <w:rPr>
          <w:rFonts w:ascii="Arial" w:eastAsia="Times New Roman" w:hAnsi="Arial" w:cs="Arial"/>
          <w:color w:val="333333"/>
          <w:sz w:val="24"/>
          <w:szCs w:val="24"/>
          <w:lang w:eastAsia="en-GB"/>
        </w:rPr>
        <w:t xml:space="preserve">e </w:t>
      </w:r>
      <w:r w:rsidR="00F54DD5">
        <w:rPr>
          <w:rFonts w:ascii="Arial" w:eastAsia="Times New Roman" w:hAnsi="Arial" w:cs="Arial"/>
          <w:color w:val="333333"/>
          <w:sz w:val="24"/>
          <w:szCs w:val="24"/>
          <w:lang w:eastAsia="en-GB"/>
        </w:rPr>
        <w:t xml:space="preserve">UDP did not allocate any sites for development within </w:t>
      </w:r>
      <w:r w:rsidR="00A438F7">
        <w:rPr>
          <w:rFonts w:ascii="Arial" w:eastAsia="Times New Roman" w:hAnsi="Arial" w:cs="Arial"/>
          <w:color w:val="333333"/>
          <w:sz w:val="24"/>
          <w:szCs w:val="24"/>
          <w:lang w:eastAsia="en-GB"/>
        </w:rPr>
        <w:t xml:space="preserve">Stoke Prior or define a </w:t>
      </w:r>
      <w:r w:rsidR="00F54DD5">
        <w:rPr>
          <w:rFonts w:ascii="Arial" w:eastAsia="Times New Roman" w:hAnsi="Arial" w:cs="Arial"/>
          <w:color w:val="333333"/>
          <w:sz w:val="24"/>
          <w:szCs w:val="24"/>
          <w:lang w:eastAsia="en-GB"/>
        </w:rPr>
        <w:t>settlement boundary, relying on housing coming forward as windfall sites</w:t>
      </w:r>
      <w:r w:rsidR="00F429A7">
        <w:rPr>
          <w:rFonts w:ascii="Arial" w:eastAsia="Times New Roman" w:hAnsi="Arial" w:cs="Arial"/>
          <w:color w:val="333333"/>
          <w:sz w:val="24"/>
          <w:szCs w:val="24"/>
          <w:lang w:eastAsia="en-GB"/>
        </w:rPr>
        <w:t xml:space="preserve"> through the application of policy</w:t>
      </w:r>
      <w:r w:rsidR="00F54DD5">
        <w:rPr>
          <w:rFonts w:ascii="Arial" w:eastAsia="Times New Roman" w:hAnsi="Arial" w:cs="Arial"/>
          <w:color w:val="333333"/>
          <w:sz w:val="24"/>
          <w:szCs w:val="24"/>
          <w:lang w:eastAsia="en-GB"/>
        </w:rPr>
        <w:t xml:space="preserve">. </w:t>
      </w:r>
      <w:r w:rsidR="007C7CAC">
        <w:rPr>
          <w:rFonts w:ascii="Arial" w:eastAsia="Times New Roman" w:hAnsi="Arial" w:cs="Arial"/>
          <w:color w:val="333333"/>
          <w:sz w:val="24"/>
          <w:szCs w:val="24"/>
          <w:lang w:eastAsia="en-GB"/>
        </w:rPr>
        <w:t xml:space="preserve">No </w:t>
      </w:r>
      <w:r w:rsidR="00A438F7">
        <w:rPr>
          <w:rFonts w:ascii="Arial" w:eastAsia="Times New Roman" w:hAnsi="Arial" w:cs="Arial"/>
          <w:color w:val="333333"/>
          <w:sz w:val="24"/>
          <w:szCs w:val="24"/>
          <w:lang w:eastAsia="en-GB"/>
        </w:rPr>
        <w:t>housing development would have been permitted within what might have been defined as Risbury or Steensbridge.</w:t>
      </w:r>
      <w:r w:rsidR="007C7CAC">
        <w:rPr>
          <w:rFonts w:ascii="Arial" w:eastAsia="Times New Roman" w:hAnsi="Arial" w:cs="Arial"/>
          <w:color w:val="333333"/>
          <w:sz w:val="24"/>
          <w:szCs w:val="24"/>
          <w:lang w:eastAsia="en-GB"/>
        </w:rPr>
        <w:t xml:space="preserve"> </w:t>
      </w:r>
    </w:p>
    <w:p w:rsidR="00F54DD5" w:rsidRDefault="00F54DD5"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hAnsi="Arial" w:cs="Arial"/>
          <w:sz w:val="24"/>
          <w:szCs w:val="24"/>
        </w:rPr>
        <w:t xml:space="preserve">Current advice set out in </w:t>
      </w:r>
      <w:r w:rsidRPr="0065157B">
        <w:rPr>
          <w:rFonts w:ascii="Arial" w:hAnsi="Arial" w:cs="Arial"/>
          <w:sz w:val="24"/>
          <w:szCs w:val="24"/>
        </w:rPr>
        <w:t>Planning Practice Guidance</w:t>
      </w:r>
      <w:r>
        <w:rPr>
          <w:rStyle w:val="FootnoteReference"/>
          <w:rFonts w:ascii="Arial" w:hAnsi="Arial" w:cs="Arial"/>
          <w:sz w:val="24"/>
          <w:szCs w:val="24"/>
        </w:rPr>
        <w:footnoteReference w:id="1"/>
      </w:r>
      <w:r w:rsidRPr="0065157B">
        <w:rPr>
          <w:rFonts w:ascii="Arial" w:hAnsi="Arial" w:cs="Arial"/>
          <w:sz w:val="24"/>
          <w:szCs w:val="24"/>
        </w:rPr>
        <w:t xml:space="preserve"> indicates that </w:t>
      </w:r>
      <w:r>
        <w:rPr>
          <w:rFonts w:ascii="Arial" w:hAnsi="Arial" w:cs="Arial"/>
          <w:sz w:val="24"/>
          <w:szCs w:val="24"/>
        </w:rPr>
        <w:t xml:space="preserve">housing site </w:t>
      </w:r>
      <w:r w:rsidRPr="0065157B">
        <w:rPr>
          <w:rFonts w:ascii="Arial" w:hAnsi="Arial" w:cs="Arial"/>
          <w:sz w:val="24"/>
          <w:szCs w:val="24"/>
        </w:rPr>
        <w:t xml:space="preserve">assessments should consider sites capable of delivering 5 or more </w:t>
      </w:r>
      <w:r w:rsidRPr="0065157B">
        <w:rPr>
          <w:rFonts w:ascii="Arial" w:hAnsi="Arial" w:cs="Arial"/>
          <w:sz w:val="24"/>
          <w:szCs w:val="24"/>
        </w:rPr>
        <w:lastRenderedPageBreak/>
        <w:t>dwellings or of 0.25 ha or above</w:t>
      </w:r>
      <w:r>
        <w:rPr>
          <w:rFonts w:ascii="Arial" w:hAnsi="Arial" w:cs="Arial"/>
          <w:sz w:val="24"/>
          <w:szCs w:val="24"/>
        </w:rPr>
        <w:t xml:space="preserve"> </w:t>
      </w:r>
      <w:r w:rsidR="00BC2B05">
        <w:rPr>
          <w:rFonts w:ascii="Arial" w:hAnsi="Arial" w:cs="Arial"/>
          <w:sz w:val="24"/>
          <w:szCs w:val="24"/>
        </w:rPr>
        <w:t xml:space="preserve">should be identified </w:t>
      </w:r>
      <w:r w:rsidRPr="0065157B">
        <w:rPr>
          <w:rFonts w:ascii="Arial" w:hAnsi="Arial" w:cs="Arial"/>
          <w:sz w:val="24"/>
          <w:szCs w:val="24"/>
        </w:rPr>
        <w:t xml:space="preserve">to allocate in the </w:t>
      </w:r>
      <w:r>
        <w:rPr>
          <w:rFonts w:ascii="Arial" w:hAnsi="Arial" w:cs="Arial"/>
          <w:sz w:val="24"/>
          <w:szCs w:val="24"/>
        </w:rPr>
        <w:t xml:space="preserve">local </w:t>
      </w:r>
      <w:r w:rsidRPr="0065157B">
        <w:rPr>
          <w:rFonts w:ascii="Arial" w:hAnsi="Arial" w:cs="Arial"/>
          <w:sz w:val="24"/>
          <w:szCs w:val="24"/>
        </w:rPr>
        <w:t xml:space="preserve">plan for housing. </w:t>
      </w:r>
      <w:r w:rsidR="00BC2B05">
        <w:rPr>
          <w:rFonts w:ascii="Arial" w:hAnsi="Arial" w:cs="Arial"/>
          <w:sz w:val="24"/>
          <w:szCs w:val="24"/>
        </w:rPr>
        <w:t>On this basis i</w:t>
      </w:r>
      <w:r w:rsidRPr="0065157B">
        <w:rPr>
          <w:rFonts w:ascii="Arial" w:hAnsi="Arial" w:cs="Arial"/>
          <w:sz w:val="24"/>
          <w:szCs w:val="24"/>
        </w:rPr>
        <w:t xml:space="preserve">ndividual </w:t>
      </w:r>
      <w:r w:rsidR="00BC2B05">
        <w:rPr>
          <w:rFonts w:ascii="Arial" w:hAnsi="Arial" w:cs="Arial"/>
          <w:sz w:val="24"/>
          <w:szCs w:val="24"/>
        </w:rPr>
        <w:t xml:space="preserve">building plots </w:t>
      </w:r>
      <w:r w:rsidRPr="0065157B">
        <w:rPr>
          <w:rFonts w:ascii="Arial" w:hAnsi="Arial" w:cs="Arial"/>
          <w:sz w:val="24"/>
          <w:szCs w:val="24"/>
        </w:rPr>
        <w:t>or very small sites</w:t>
      </w:r>
      <w:r w:rsidR="00A438F7">
        <w:rPr>
          <w:rFonts w:ascii="Arial" w:hAnsi="Arial" w:cs="Arial"/>
          <w:sz w:val="24"/>
          <w:szCs w:val="24"/>
        </w:rPr>
        <w:t xml:space="preserve"> below 5 dwellings </w:t>
      </w:r>
      <w:r w:rsidR="00BC2B05">
        <w:rPr>
          <w:rFonts w:ascii="Arial" w:hAnsi="Arial" w:cs="Arial"/>
          <w:sz w:val="24"/>
          <w:szCs w:val="24"/>
        </w:rPr>
        <w:t xml:space="preserve">within settlement boundaries which might </w:t>
      </w:r>
      <w:r w:rsidRPr="0065157B">
        <w:rPr>
          <w:rFonts w:ascii="Arial" w:hAnsi="Arial" w:cs="Arial"/>
          <w:sz w:val="24"/>
          <w:szCs w:val="24"/>
        </w:rPr>
        <w:t>be developed would be counted as windfall sites</w:t>
      </w:r>
    </w:p>
    <w:p w:rsidR="00B3734E" w:rsidRDefault="0055002E"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On the basis any </w:t>
      </w:r>
      <w:r w:rsidR="00F429A7">
        <w:rPr>
          <w:rFonts w:ascii="Arial" w:eastAsia="Times New Roman" w:hAnsi="Arial" w:cs="Arial"/>
          <w:color w:val="333333"/>
          <w:sz w:val="24"/>
          <w:szCs w:val="24"/>
          <w:lang w:eastAsia="en-GB"/>
        </w:rPr>
        <w:t xml:space="preserve">previous </w:t>
      </w:r>
      <w:r>
        <w:rPr>
          <w:rFonts w:ascii="Arial" w:eastAsia="Times New Roman" w:hAnsi="Arial" w:cs="Arial"/>
          <w:color w:val="333333"/>
          <w:sz w:val="24"/>
          <w:szCs w:val="24"/>
          <w:lang w:eastAsia="en-GB"/>
        </w:rPr>
        <w:t>windfall allowance</w:t>
      </w:r>
      <w:r w:rsidR="00F429A7">
        <w:rPr>
          <w:rFonts w:ascii="Arial" w:eastAsia="Times New Roman" w:hAnsi="Arial" w:cs="Arial"/>
          <w:color w:val="333333"/>
          <w:sz w:val="24"/>
          <w:szCs w:val="24"/>
          <w:lang w:eastAsia="en-GB"/>
        </w:rPr>
        <w:t xml:space="preserve"> would </w:t>
      </w:r>
      <w:r>
        <w:rPr>
          <w:rFonts w:ascii="Arial" w:eastAsia="Times New Roman" w:hAnsi="Arial" w:cs="Arial"/>
          <w:color w:val="333333"/>
          <w:sz w:val="24"/>
          <w:szCs w:val="24"/>
          <w:lang w:eastAsia="en-GB"/>
        </w:rPr>
        <w:t xml:space="preserve">include both rural windfalls and small </w:t>
      </w:r>
      <w:r w:rsidR="00BC2B05">
        <w:rPr>
          <w:rFonts w:ascii="Arial" w:eastAsia="Times New Roman" w:hAnsi="Arial" w:cs="Arial"/>
          <w:color w:val="333333"/>
          <w:sz w:val="24"/>
          <w:szCs w:val="24"/>
          <w:lang w:eastAsia="en-GB"/>
        </w:rPr>
        <w:t xml:space="preserve">plots </w:t>
      </w:r>
      <w:r>
        <w:rPr>
          <w:rFonts w:ascii="Arial" w:eastAsia="Times New Roman" w:hAnsi="Arial" w:cs="Arial"/>
          <w:color w:val="333333"/>
          <w:sz w:val="24"/>
          <w:szCs w:val="24"/>
          <w:lang w:eastAsia="en-GB"/>
        </w:rPr>
        <w:t xml:space="preserve">and medium sites within settlement boundaries the analysis </w:t>
      </w:r>
      <w:r w:rsidR="00F429A7">
        <w:rPr>
          <w:rFonts w:ascii="Arial" w:eastAsia="Times New Roman" w:hAnsi="Arial" w:cs="Arial"/>
          <w:color w:val="333333"/>
          <w:sz w:val="24"/>
          <w:szCs w:val="24"/>
          <w:lang w:eastAsia="en-GB"/>
        </w:rPr>
        <w:t>in</w:t>
      </w:r>
      <w:r>
        <w:rPr>
          <w:rFonts w:ascii="Arial" w:eastAsia="Times New Roman" w:hAnsi="Arial" w:cs="Arial"/>
          <w:color w:val="333333"/>
          <w:sz w:val="24"/>
          <w:szCs w:val="24"/>
          <w:lang w:eastAsia="en-GB"/>
        </w:rPr>
        <w:t xml:space="preserve"> Table 1 sets out the extent of such housing provision </w:t>
      </w:r>
      <w:r w:rsidR="00BC2B05">
        <w:rPr>
          <w:rFonts w:ascii="Arial" w:eastAsia="Times New Roman" w:hAnsi="Arial" w:cs="Arial"/>
          <w:color w:val="333333"/>
          <w:sz w:val="24"/>
          <w:szCs w:val="24"/>
          <w:lang w:eastAsia="en-GB"/>
        </w:rPr>
        <w:t xml:space="preserve">through planning permissions </w:t>
      </w:r>
      <w:r w:rsidR="009C62C8">
        <w:rPr>
          <w:rFonts w:ascii="Arial" w:eastAsia="Times New Roman" w:hAnsi="Arial" w:cs="Arial"/>
          <w:color w:val="333333"/>
          <w:sz w:val="24"/>
          <w:szCs w:val="24"/>
          <w:lang w:eastAsia="en-GB"/>
        </w:rPr>
        <w:t xml:space="preserve">within </w:t>
      </w:r>
      <w:r w:rsidR="00BC4C29">
        <w:rPr>
          <w:rFonts w:ascii="Arial" w:eastAsia="Times New Roman" w:hAnsi="Arial" w:cs="Arial"/>
          <w:color w:val="333333"/>
          <w:sz w:val="24"/>
          <w:szCs w:val="24"/>
          <w:lang w:eastAsia="en-GB"/>
        </w:rPr>
        <w:t xml:space="preserve">Humber, Ford and Stoke Prior Group </w:t>
      </w:r>
      <w:r w:rsidR="009C62C8">
        <w:rPr>
          <w:rFonts w:ascii="Arial" w:eastAsia="Times New Roman" w:hAnsi="Arial" w:cs="Arial"/>
          <w:color w:val="333333"/>
          <w:sz w:val="24"/>
          <w:szCs w:val="24"/>
          <w:lang w:eastAsia="en-GB"/>
        </w:rPr>
        <w:t>Parish</w:t>
      </w:r>
      <w:r w:rsidR="0065157B">
        <w:rPr>
          <w:rFonts w:ascii="Arial" w:eastAsia="Times New Roman" w:hAnsi="Arial" w:cs="Arial"/>
          <w:color w:val="333333"/>
          <w:sz w:val="24"/>
          <w:szCs w:val="24"/>
          <w:lang w:eastAsia="en-GB"/>
        </w:rPr>
        <w:t xml:space="preserve"> since 2001</w:t>
      </w:r>
      <w:r w:rsidR="00BC4C29">
        <w:rPr>
          <w:rFonts w:ascii="Arial" w:eastAsia="Times New Roman" w:hAnsi="Arial" w:cs="Arial"/>
          <w:color w:val="333333"/>
          <w:sz w:val="24"/>
          <w:szCs w:val="24"/>
          <w:lang w:eastAsia="en-GB"/>
        </w:rPr>
        <w:t xml:space="preserve"> based upon what have currently been defined as settlement boundaries for the three named settlements</w:t>
      </w:r>
      <w:r w:rsidR="00F54DD5">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w:t>
      </w:r>
    </w:p>
    <w:p w:rsidR="00250BA3" w:rsidRPr="00BC4C29" w:rsidRDefault="00250BA3" w:rsidP="002335A1">
      <w:pPr>
        <w:spacing w:after="120" w:line="240" w:lineRule="auto"/>
        <w:ind w:left="709"/>
        <w:outlineLvl w:val="1"/>
        <w:rPr>
          <w:rFonts w:ascii="Arial" w:eastAsia="Times New Roman" w:hAnsi="Arial" w:cs="Arial"/>
          <w:b/>
          <w:color w:val="333333"/>
          <w:sz w:val="24"/>
          <w:szCs w:val="24"/>
          <w:lang w:eastAsia="en-GB"/>
        </w:rPr>
      </w:pPr>
      <w:r w:rsidRPr="00BC4C29">
        <w:rPr>
          <w:rFonts w:ascii="Arial" w:eastAsia="Times New Roman" w:hAnsi="Arial" w:cs="Arial"/>
          <w:b/>
          <w:color w:val="333333"/>
          <w:sz w:val="24"/>
          <w:szCs w:val="24"/>
          <w:lang w:eastAsia="en-GB"/>
        </w:rPr>
        <w:t xml:space="preserve">Table 1: </w:t>
      </w:r>
      <w:r w:rsidR="007A53DC" w:rsidRPr="00BC4C29">
        <w:rPr>
          <w:rFonts w:ascii="Arial" w:eastAsia="Times New Roman" w:hAnsi="Arial" w:cs="Arial"/>
          <w:b/>
          <w:color w:val="333333"/>
          <w:sz w:val="24"/>
          <w:szCs w:val="24"/>
          <w:lang w:eastAsia="en-GB"/>
        </w:rPr>
        <w:t xml:space="preserve">Planning Permissions Granted within </w:t>
      </w:r>
      <w:r w:rsidR="00BC4C29" w:rsidRPr="00BC4C29">
        <w:rPr>
          <w:rFonts w:ascii="Arial" w:eastAsia="Times New Roman" w:hAnsi="Arial" w:cs="Arial"/>
          <w:b/>
          <w:color w:val="333333"/>
          <w:sz w:val="24"/>
          <w:szCs w:val="24"/>
          <w:lang w:eastAsia="en-GB"/>
        </w:rPr>
        <w:t xml:space="preserve">Humber, Ford and Stoke Prior Group </w:t>
      </w:r>
      <w:r w:rsidR="007A53DC" w:rsidRPr="00BC4C29">
        <w:rPr>
          <w:rFonts w:ascii="Arial" w:eastAsia="Times New Roman" w:hAnsi="Arial" w:cs="Arial"/>
          <w:b/>
          <w:color w:val="333333"/>
          <w:sz w:val="24"/>
          <w:szCs w:val="24"/>
          <w:lang w:eastAsia="en-GB"/>
        </w:rPr>
        <w:t>Parish since 20</w:t>
      </w:r>
      <w:r w:rsidR="00BC4C29" w:rsidRPr="00BC4C29">
        <w:rPr>
          <w:rFonts w:ascii="Arial" w:eastAsia="Times New Roman" w:hAnsi="Arial" w:cs="Arial"/>
          <w:b/>
          <w:color w:val="333333"/>
          <w:sz w:val="24"/>
          <w:szCs w:val="24"/>
          <w:lang w:eastAsia="en-GB"/>
        </w:rPr>
        <w:t>0</w:t>
      </w:r>
      <w:r w:rsidR="007A53DC" w:rsidRPr="00BC4C29">
        <w:rPr>
          <w:rFonts w:ascii="Arial" w:eastAsia="Times New Roman" w:hAnsi="Arial" w:cs="Arial"/>
          <w:b/>
          <w:color w:val="333333"/>
          <w:sz w:val="24"/>
          <w:szCs w:val="24"/>
          <w:lang w:eastAsia="en-GB"/>
        </w:rPr>
        <w:t>1</w:t>
      </w:r>
    </w:p>
    <w:tbl>
      <w:tblPr>
        <w:tblStyle w:val="TableGrid"/>
        <w:tblW w:w="0" w:type="auto"/>
        <w:tblInd w:w="720" w:type="dxa"/>
        <w:tblLook w:val="04A0" w:firstRow="1" w:lastRow="0" w:firstColumn="1" w:lastColumn="0" w:noHBand="0" w:noVBand="1"/>
      </w:tblPr>
      <w:tblGrid>
        <w:gridCol w:w="2082"/>
        <w:gridCol w:w="3118"/>
        <w:gridCol w:w="3322"/>
      </w:tblGrid>
      <w:tr w:rsidR="007A53DC" w:rsidTr="007A53DC">
        <w:tc>
          <w:tcPr>
            <w:tcW w:w="2082" w:type="dxa"/>
          </w:tcPr>
          <w:p w:rsidR="007A53DC" w:rsidRDefault="007A53DC"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Period</w:t>
            </w:r>
          </w:p>
        </w:tc>
        <w:tc>
          <w:tcPr>
            <w:tcW w:w="3118" w:type="dxa"/>
          </w:tcPr>
          <w:p w:rsidR="007A53DC" w:rsidRDefault="007A53DC"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Dwellings within Settlement Boundar</w:t>
            </w:r>
            <w:r w:rsidR="00BC4C29">
              <w:rPr>
                <w:rFonts w:ascii="Arial" w:eastAsia="Times New Roman" w:hAnsi="Arial" w:cs="Arial"/>
                <w:color w:val="333333"/>
                <w:sz w:val="24"/>
                <w:szCs w:val="24"/>
                <w:lang w:eastAsia="en-GB"/>
              </w:rPr>
              <w:t>ies</w:t>
            </w:r>
          </w:p>
        </w:tc>
        <w:tc>
          <w:tcPr>
            <w:tcW w:w="3322" w:type="dxa"/>
          </w:tcPr>
          <w:p w:rsidR="007A53DC" w:rsidRDefault="007A53DC"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Dwellings outside Settlement Boundar</w:t>
            </w:r>
            <w:r w:rsidR="00BC4C29">
              <w:rPr>
                <w:rFonts w:ascii="Arial" w:eastAsia="Times New Roman" w:hAnsi="Arial" w:cs="Arial"/>
                <w:color w:val="333333"/>
                <w:sz w:val="24"/>
                <w:szCs w:val="24"/>
                <w:lang w:eastAsia="en-GB"/>
              </w:rPr>
              <w:t>ies</w:t>
            </w:r>
          </w:p>
        </w:tc>
      </w:tr>
      <w:tr w:rsidR="007A53DC" w:rsidTr="007A53DC">
        <w:tc>
          <w:tcPr>
            <w:tcW w:w="2082" w:type="dxa"/>
          </w:tcPr>
          <w:p w:rsidR="007A53DC" w:rsidRDefault="007A53DC"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2001-2006</w:t>
            </w:r>
          </w:p>
        </w:tc>
        <w:tc>
          <w:tcPr>
            <w:tcW w:w="3118" w:type="dxa"/>
          </w:tcPr>
          <w:p w:rsidR="007A53DC" w:rsidRDefault="007A53DC"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1</w:t>
            </w:r>
            <w:r w:rsidR="003D12F8">
              <w:rPr>
                <w:rFonts w:ascii="Arial" w:eastAsia="Times New Roman" w:hAnsi="Arial" w:cs="Arial"/>
                <w:color w:val="333333"/>
                <w:sz w:val="24"/>
                <w:szCs w:val="24"/>
                <w:lang w:eastAsia="en-GB"/>
              </w:rPr>
              <w:t>3</w:t>
            </w:r>
          </w:p>
        </w:tc>
        <w:tc>
          <w:tcPr>
            <w:tcW w:w="3322" w:type="dxa"/>
          </w:tcPr>
          <w:p w:rsidR="007A53DC" w:rsidRDefault="004F22F3"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7</w:t>
            </w:r>
          </w:p>
        </w:tc>
      </w:tr>
      <w:tr w:rsidR="007A53DC" w:rsidTr="007A53DC">
        <w:tc>
          <w:tcPr>
            <w:tcW w:w="2082" w:type="dxa"/>
          </w:tcPr>
          <w:p w:rsidR="007A53DC" w:rsidRDefault="007A53DC"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2006-2011</w:t>
            </w:r>
          </w:p>
        </w:tc>
        <w:tc>
          <w:tcPr>
            <w:tcW w:w="3118" w:type="dxa"/>
          </w:tcPr>
          <w:p w:rsidR="007A53DC" w:rsidRDefault="004F22F3"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4</w:t>
            </w:r>
          </w:p>
        </w:tc>
        <w:tc>
          <w:tcPr>
            <w:tcW w:w="3322" w:type="dxa"/>
          </w:tcPr>
          <w:p w:rsidR="007A53DC" w:rsidRDefault="004F22F3"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w:t>
            </w:r>
          </w:p>
        </w:tc>
      </w:tr>
      <w:tr w:rsidR="007A53DC" w:rsidTr="007A53DC">
        <w:tc>
          <w:tcPr>
            <w:tcW w:w="2082" w:type="dxa"/>
          </w:tcPr>
          <w:p w:rsidR="007A53DC" w:rsidRDefault="007A53DC"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2011</w:t>
            </w:r>
            <w:r w:rsidR="007C7CAC">
              <w:rPr>
                <w:rFonts w:ascii="Arial" w:eastAsia="Times New Roman" w:hAnsi="Arial" w:cs="Arial"/>
                <w:color w:val="333333"/>
                <w:sz w:val="24"/>
                <w:szCs w:val="24"/>
                <w:lang w:eastAsia="en-GB"/>
              </w:rPr>
              <w:t>-2015</w:t>
            </w:r>
          </w:p>
        </w:tc>
        <w:tc>
          <w:tcPr>
            <w:tcW w:w="3118" w:type="dxa"/>
          </w:tcPr>
          <w:p w:rsidR="007A53DC" w:rsidRDefault="004F22F3"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8</w:t>
            </w:r>
          </w:p>
        </w:tc>
        <w:tc>
          <w:tcPr>
            <w:tcW w:w="3322" w:type="dxa"/>
          </w:tcPr>
          <w:p w:rsidR="007A53DC" w:rsidRDefault="008C540F"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w:t>
            </w:r>
          </w:p>
        </w:tc>
      </w:tr>
      <w:tr w:rsidR="007A53DC" w:rsidTr="007A53DC">
        <w:tc>
          <w:tcPr>
            <w:tcW w:w="2082" w:type="dxa"/>
          </w:tcPr>
          <w:p w:rsidR="007A53DC" w:rsidRPr="007A53DC" w:rsidRDefault="007A53DC" w:rsidP="002335A1">
            <w:pPr>
              <w:spacing w:after="120"/>
              <w:ind w:left="709" w:hanging="709"/>
              <w:jc w:val="center"/>
              <w:outlineLvl w:val="1"/>
              <w:rPr>
                <w:rFonts w:ascii="Arial" w:eastAsia="Times New Roman" w:hAnsi="Arial" w:cs="Arial"/>
                <w:b/>
                <w:color w:val="333333"/>
                <w:sz w:val="24"/>
                <w:szCs w:val="24"/>
                <w:lang w:eastAsia="en-GB"/>
              </w:rPr>
            </w:pPr>
            <w:r w:rsidRPr="007A53DC">
              <w:rPr>
                <w:rFonts w:ascii="Arial" w:eastAsia="Times New Roman" w:hAnsi="Arial" w:cs="Arial"/>
                <w:b/>
                <w:color w:val="333333"/>
                <w:sz w:val="24"/>
                <w:szCs w:val="24"/>
                <w:lang w:eastAsia="en-GB"/>
              </w:rPr>
              <w:t>Total 2001</w:t>
            </w:r>
            <w:r w:rsidR="007C7CAC">
              <w:rPr>
                <w:rFonts w:ascii="Arial" w:eastAsia="Times New Roman" w:hAnsi="Arial" w:cs="Arial"/>
                <w:b/>
                <w:color w:val="333333"/>
                <w:sz w:val="24"/>
                <w:szCs w:val="24"/>
                <w:lang w:eastAsia="en-GB"/>
              </w:rPr>
              <w:t>-2015</w:t>
            </w:r>
          </w:p>
        </w:tc>
        <w:tc>
          <w:tcPr>
            <w:tcW w:w="3118" w:type="dxa"/>
          </w:tcPr>
          <w:p w:rsidR="007A53DC" w:rsidRPr="007A53DC" w:rsidRDefault="004F22F3" w:rsidP="002335A1">
            <w:pPr>
              <w:spacing w:after="120"/>
              <w:ind w:left="709" w:hanging="709"/>
              <w:jc w:val="center"/>
              <w:outlineLvl w:val="1"/>
              <w:rPr>
                <w:rFonts w:ascii="Arial" w:eastAsia="Times New Roman" w:hAnsi="Arial" w:cs="Arial"/>
                <w:b/>
                <w:color w:val="333333"/>
                <w:sz w:val="24"/>
                <w:szCs w:val="24"/>
                <w:lang w:eastAsia="en-GB"/>
              </w:rPr>
            </w:pPr>
            <w:r>
              <w:rPr>
                <w:rFonts w:ascii="Arial" w:eastAsia="Times New Roman" w:hAnsi="Arial" w:cs="Arial"/>
                <w:b/>
                <w:color w:val="333333"/>
                <w:sz w:val="24"/>
                <w:szCs w:val="24"/>
                <w:lang w:eastAsia="en-GB"/>
              </w:rPr>
              <w:t>2</w:t>
            </w:r>
            <w:r w:rsidR="003D12F8">
              <w:rPr>
                <w:rFonts w:ascii="Arial" w:eastAsia="Times New Roman" w:hAnsi="Arial" w:cs="Arial"/>
                <w:b/>
                <w:color w:val="333333"/>
                <w:sz w:val="24"/>
                <w:szCs w:val="24"/>
                <w:lang w:eastAsia="en-GB"/>
              </w:rPr>
              <w:t>5</w:t>
            </w:r>
          </w:p>
        </w:tc>
        <w:tc>
          <w:tcPr>
            <w:tcW w:w="3322" w:type="dxa"/>
          </w:tcPr>
          <w:p w:rsidR="007A53DC" w:rsidRPr="007A53DC" w:rsidRDefault="004F22F3" w:rsidP="002335A1">
            <w:pPr>
              <w:spacing w:after="120"/>
              <w:ind w:left="709" w:hanging="709"/>
              <w:jc w:val="center"/>
              <w:outlineLvl w:val="1"/>
              <w:rPr>
                <w:rFonts w:ascii="Arial" w:eastAsia="Times New Roman" w:hAnsi="Arial" w:cs="Arial"/>
                <w:b/>
                <w:color w:val="333333"/>
                <w:sz w:val="24"/>
                <w:szCs w:val="24"/>
                <w:lang w:eastAsia="en-GB"/>
              </w:rPr>
            </w:pPr>
            <w:r>
              <w:rPr>
                <w:rFonts w:ascii="Arial" w:eastAsia="Times New Roman" w:hAnsi="Arial" w:cs="Arial"/>
                <w:b/>
                <w:color w:val="333333"/>
                <w:sz w:val="24"/>
                <w:szCs w:val="24"/>
                <w:lang w:eastAsia="en-GB"/>
              </w:rPr>
              <w:t>1</w:t>
            </w:r>
            <w:r w:rsidR="008C540F">
              <w:rPr>
                <w:rFonts w:ascii="Arial" w:eastAsia="Times New Roman" w:hAnsi="Arial" w:cs="Arial"/>
                <w:b/>
                <w:color w:val="333333"/>
                <w:sz w:val="24"/>
                <w:szCs w:val="24"/>
                <w:lang w:eastAsia="en-GB"/>
              </w:rPr>
              <w:t>1</w:t>
            </w:r>
          </w:p>
        </w:tc>
      </w:tr>
    </w:tbl>
    <w:p w:rsidR="004F22F3" w:rsidRDefault="00331C60" w:rsidP="002335A1">
      <w:pPr>
        <w:spacing w:after="120" w:line="240" w:lineRule="auto"/>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
      </w:r>
    </w:p>
    <w:p w:rsidR="007C7CAC" w:rsidRPr="00331C60" w:rsidRDefault="00331C60" w:rsidP="002335A1">
      <w:pPr>
        <w:spacing w:after="120" w:line="240" w:lineRule="auto"/>
        <w:ind w:left="709"/>
        <w:outlineLvl w:val="1"/>
        <w:rPr>
          <w:rFonts w:ascii="Arial" w:eastAsia="Times New Roman" w:hAnsi="Arial" w:cs="Arial"/>
          <w:color w:val="333333"/>
          <w:sz w:val="24"/>
          <w:szCs w:val="24"/>
          <w:u w:val="single"/>
          <w:lang w:eastAsia="en-GB"/>
        </w:rPr>
      </w:pPr>
      <w:r w:rsidRPr="00331C60">
        <w:rPr>
          <w:rFonts w:ascii="Arial" w:eastAsia="Times New Roman" w:hAnsi="Arial" w:cs="Arial"/>
          <w:color w:val="333333"/>
          <w:sz w:val="24"/>
          <w:szCs w:val="24"/>
          <w:u w:val="single"/>
          <w:lang w:eastAsia="en-GB"/>
        </w:rPr>
        <w:t>Rural Windfalls</w:t>
      </w:r>
    </w:p>
    <w:p w:rsidR="00B16888" w:rsidRDefault="004F22F3"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Humber, Ford and Stoke Prior Group Parish </w:t>
      </w:r>
      <w:r w:rsidR="00B16888" w:rsidRPr="00B16888">
        <w:rPr>
          <w:rFonts w:ascii="Arial" w:eastAsia="Times New Roman" w:hAnsi="Arial" w:cs="Arial"/>
          <w:color w:val="333333"/>
          <w:sz w:val="24"/>
          <w:szCs w:val="24"/>
          <w:lang w:eastAsia="en-GB"/>
        </w:rPr>
        <w:t xml:space="preserve">has the potential to accommodate many if not all the forms of residential development provided for through </w:t>
      </w:r>
      <w:r w:rsidR="00011FB2">
        <w:rPr>
          <w:rFonts w:ascii="Arial" w:eastAsia="Times New Roman" w:hAnsi="Arial" w:cs="Arial"/>
          <w:color w:val="333333"/>
          <w:sz w:val="24"/>
          <w:szCs w:val="24"/>
          <w:lang w:eastAsia="en-GB"/>
        </w:rPr>
        <w:t xml:space="preserve">Herefordshire </w:t>
      </w:r>
      <w:r w:rsidR="00B16888" w:rsidRPr="00B16888">
        <w:rPr>
          <w:rFonts w:ascii="Arial" w:eastAsia="Times New Roman" w:hAnsi="Arial" w:cs="Arial"/>
          <w:color w:val="333333"/>
          <w:sz w:val="24"/>
          <w:szCs w:val="24"/>
          <w:lang w:eastAsia="en-GB"/>
        </w:rPr>
        <w:t xml:space="preserve">Core Strategy Policy RA3 (see paragraph 2.1 above). Estimating the likely extent of such development for each of the forms </w:t>
      </w:r>
      <w:r w:rsidR="00B16888">
        <w:rPr>
          <w:rFonts w:ascii="Arial" w:eastAsia="Times New Roman" w:hAnsi="Arial" w:cs="Arial"/>
          <w:color w:val="333333"/>
          <w:sz w:val="24"/>
          <w:szCs w:val="24"/>
          <w:lang w:eastAsia="en-GB"/>
        </w:rPr>
        <w:t xml:space="preserve">is however acknowledged to be extremely difficult and no doubt why the NPPF suggests windfall delivery rates and future trends should be used. </w:t>
      </w:r>
    </w:p>
    <w:p w:rsidR="004123D6" w:rsidRDefault="007C7CAC"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B16888">
        <w:rPr>
          <w:rFonts w:ascii="Arial" w:eastAsia="Times New Roman" w:hAnsi="Arial" w:cs="Arial"/>
          <w:color w:val="333333"/>
          <w:sz w:val="24"/>
          <w:szCs w:val="24"/>
          <w:lang w:eastAsia="en-GB"/>
        </w:rPr>
        <w:t xml:space="preserve">Over the 14 year period </w:t>
      </w:r>
      <w:r w:rsidR="004F22F3">
        <w:rPr>
          <w:rFonts w:ascii="Arial" w:eastAsia="Times New Roman" w:hAnsi="Arial" w:cs="Arial"/>
          <w:color w:val="333333"/>
          <w:sz w:val="24"/>
          <w:szCs w:val="24"/>
          <w:lang w:eastAsia="en-GB"/>
        </w:rPr>
        <w:t xml:space="preserve">2001-2015 </w:t>
      </w:r>
      <w:r w:rsidR="00331C60" w:rsidRPr="00B16888">
        <w:rPr>
          <w:rFonts w:ascii="Arial" w:eastAsia="Times New Roman" w:hAnsi="Arial" w:cs="Arial"/>
          <w:color w:val="333333"/>
          <w:sz w:val="24"/>
          <w:szCs w:val="24"/>
          <w:lang w:eastAsia="en-GB"/>
        </w:rPr>
        <w:t xml:space="preserve">the figures indicate a rate of </w:t>
      </w:r>
      <w:r w:rsidR="004F22F3">
        <w:rPr>
          <w:rFonts w:ascii="Arial" w:eastAsia="Times New Roman" w:hAnsi="Arial" w:cs="Arial"/>
          <w:color w:val="333333"/>
          <w:sz w:val="24"/>
          <w:szCs w:val="24"/>
          <w:lang w:eastAsia="en-GB"/>
        </w:rPr>
        <w:t>0.</w:t>
      </w:r>
      <w:r w:rsidR="008C540F">
        <w:rPr>
          <w:rFonts w:ascii="Arial" w:eastAsia="Times New Roman" w:hAnsi="Arial" w:cs="Arial"/>
          <w:color w:val="333333"/>
          <w:sz w:val="24"/>
          <w:szCs w:val="24"/>
          <w:lang w:eastAsia="en-GB"/>
        </w:rPr>
        <w:t>78</w:t>
      </w:r>
      <w:r w:rsidRPr="00B16888">
        <w:rPr>
          <w:rFonts w:ascii="Arial" w:eastAsia="Times New Roman" w:hAnsi="Arial" w:cs="Arial"/>
          <w:color w:val="333333"/>
          <w:sz w:val="24"/>
          <w:szCs w:val="24"/>
          <w:lang w:eastAsia="en-GB"/>
        </w:rPr>
        <w:t xml:space="preserve"> dwellings </w:t>
      </w:r>
      <w:r w:rsidR="00331C60" w:rsidRPr="00B16888">
        <w:rPr>
          <w:rFonts w:ascii="Arial" w:eastAsia="Times New Roman" w:hAnsi="Arial" w:cs="Arial"/>
          <w:color w:val="333333"/>
          <w:sz w:val="24"/>
          <w:szCs w:val="24"/>
          <w:lang w:eastAsia="en-GB"/>
        </w:rPr>
        <w:t xml:space="preserve">per annum were brought forward </w:t>
      </w:r>
      <w:r w:rsidRPr="00B16888">
        <w:rPr>
          <w:rFonts w:ascii="Arial" w:eastAsia="Times New Roman" w:hAnsi="Arial" w:cs="Arial"/>
          <w:color w:val="333333"/>
          <w:sz w:val="24"/>
          <w:szCs w:val="24"/>
          <w:lang w:eastAsia="en-GB"/>
        </w:rPr>
        <w:t>outside</w:t>
      </w:r>
      <w:r w:rsidR="00331C60" w:rsidRPr="00B16888">
        <w:rPr>
          <w:rFonts w:ascii="Arial" w:eastAsia="Times New Roman" w:hAnsi="Arial" w:cs="Arial"/>
          <w:color w:val="333333"/>
          <w:sz w:val="24"/>
          <w:szCs w:val="24"/>
          <w:lang w:eastAsia="en-GB"/>
        </w:rPr>
        <w:t xml:space="preserve"> of </w:t>
      </w:r>
      <w:r w:rsidR="004F22F3">
        <w:rPr>
          <w:rFonts w:ascii="Arial" w:eastAsia="Times New Roman" w:hAnsi="Arial" w:cs="Arial"/>
          <w:color w:val="333333"/>
          <w:sz w:val="24"/>
          <w:szCs w:val="24"/>
          <w:lang w:eastAsia="en-GB"/>
        </w:rPr>
        <w:t xml:space="preserve">the Group parish’s </w:t>
      </w:r>
      <w:r w:rsidR="00331C60" w:rsidRPr="00B16888">
        <w:rPr>
          <w:rFonts w:ascii="Arial" w:eastAsia="Times New Roman" w:hAnsi="Arial" w:cs="Arial"/>
          <w:color w:val="333333"/>
          <w:sz w:val="24"/>
          <w:szCs w:val="24"/>
          <w:lang w:eastAsia="en-GB"/>
        </w:rPr>
        <w:t>settlement boundar</w:t>
      </w:r>
      <w:r w:rsidR="003234D2">
        <w:rPr>
          <w:rFonts w:ascii="Arial" w:eastAsia="Times New Roman" w:hAnsi="Arial" w:cs="Arial"/>
          <w:color w:val="333333"/>
          <w:sz w:val="24"/>
          <w:szCs w:val="24"/>
          <w:lang w:eastAsia="en-GB"/>
        </w:rPr>
        <w:t>ies</w:t>
      </w:r>
      <w:r w:rsidRPr="00B16888">
        <w:rPr>
          <w:rFonts w:ascii="Arial" w:eastAsia="Times New Roman" w:hAnsi="Arial" w:cs="Arial"/>
          <w:color w:val="333333"/>
          <w:sz w:val="24"/>
          <w:szCs w:val="24"/>
          <w:lang w:eastAsia="en-GB"/>
        </w:rPr>
        <w:t>.</w:t>
      </w:r>
      <w:r w:rsidR="00C87333">
        <w:rPr>
          <w:rFonts w:ascii="Arial" w:eastAsia="Times New Roman" w:hAnsi="Arial" w:cs="Arial"/>
          <w:color w:val="333333"/>
          <w:sz w:val="24"/>
          <w:szCs w:val="24"/>
          <w:lang w:eastAsia="en-GB"/>
        </w:rPr>
        <w:t xml:space="preserve"> </w:t>
      </w:r>
      <w:r w:rsidR="004123D6" w:rsidRPr="00B16888">
        <w:rPr>
          <w:rFonts w:ascii="Arial" w:eastAsia="Times New Roman" w:hAnsi="Arial" w:cs="Arial"/>
          <w:color w:val="333333"/>
          <w:sz w:val="24"/>
          <w:szCs w:val="24"/>
          <w:lang w:eastAsia="en-GB"/>
        </w:rPr>
        <w:t xml:space="preserve">Over the </w:t>
      </w:r>
      <w:r w:rsidR="004123D6">
        <w:rPr>
          <w:rFonts w:ascii="Arial" w:eastAsia="Times New Roman" w:hAnsi="Arial" w:cs="Arial"/>
          <w:color w:val="333333"/>
          <w:sz w:val="24"/>
          <w:szCs w:val="24"/>
          <w:lang w:eastAsia="en-GB"/>
        </w:rPr>
        <w:t xml:space="preserve">whole Herefordshire </w:t>
      </w:r>
      <w:r w:rsidR="004123D6" w:rsidRPr="00B16888">
        <w:rPr>
          <w:rFonts w:ascii="Arial" w:eastAsia="Times New Roman" w:hAnsi="Arial" w:cs="Arial"/>
          <w:color w:val="333333"/>
          <w:sz w:val="24"/>
          <w:szCs w:val="24"/>
          <w:lang w:eastAsia="en-GB"/>
        </w:rPr>
        <w:t>Core Strategy plan period</w:t>
      </w:r>
      <w:r w:rsidR="004123D6">
        <w:rPr>
          <w:rFonts w:ascii="Arial" w:eastAsia="Times New Roman" w:hAnsi="Arial" w:cs="Arial"/>
          <w:color w:val="333333"/>
          <w:sz w:val="24"/>
          <w:szCs w:val="24"/>
          <w:lang w:eastAsia="en-GB"/>
        </w:rPr>
        <w:t>, should</w:t>
      </w:r>
      <w:r w:rsidR="004123D6" w:rsidRPr="00B16888">
        <w:rPr>
          <w:rFonts w:ascii="Arial" w:eastAsia="Times New Roman" w:hAnsi="Arial" w:cs="Arial"/>
          <w:color w:val="333333"/>
          <w:sz w:val="24"/>
          <w:szCs w:val="24"/>
          <w:lang w:eastAsia="en-GB"/>
        </w:rPr>
        <w:t xml:space="preserve"> th</w:t>
      </w:r>
      <w:r w:rsidR="004123D6">
        <w:rPr>
          <w:rFonts w:ascii="Arial" w:eastAsia="Times New Roman" w:hAnsi="Arial" w:cs="Arial"/>
          <w:color w:val="333333"/>
          <w:sz w:val="24"/>
          <w:szCs w:val="24"/>
          <w:lang w:eastAsia="en-GB"/>
        </w:rPr>
        <w:t>is rate of rural windfall development continue, it would result in 1</w:t>
      </w:r>
      <w:r w:rsidR="008C540F">
        <w:rPr>
          <w:rFonts w:ascii="Arial" w:eastAsia="Times New Roman" w:hAnsi="Arial" w:cs="Arial"/>
          <w:color w:val="333333"/>
          <w:sz w:val="24"/>
          <w:szCs w:val="24"/>
          <w:lang w:eastAsia="en-GB"/>
        </w:rPr>
        <w:t>6</w:t>
      </w:r>
      <w:r w:rsidR="004123D6">
        <w:rPr>
          <w:rFonts w:ascii="Arial" w:eastAsia="Times New Roman" w:hAnsi="Arial" w:cs="Arial"/>
          <w:color w:val="333333"/>
          <w:sz w:val="24"/>
          <w:szCs w:val="24"/>
          <w:lang w:eastAsia="en-GB"/>
        </w:rPr>
        <w:t xml:space="preserve"> dwellings. The indicative Herefordshire Core Strategy windfall allowance of 19% would however equate to 8 dwellings over that 20 year period.</w:t>
      </w:r>
    </w:p>
    <w:p w:rsidR="00D458FD" w:rsidRDefault="00B16888"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Future trends suggest that rural windfalls within </w:t>
      </w:r>
      <w:r w:rsidR="0044657E">
        <w:rPr>
          <w:rFonts w:ascii="Arial" w:eastAsia="Times New Roman" w:hAnsi="Arial" w:cs="Arial"/>
          <w:color w:val="333333"/>
          <w:sz w:val="24"/>
          <w:szCs w:val="24"/>
          <w:lang w:eastAsia="en-GB"/>
        </w:rPr>
        <w:t>Humber, Ford and Stoke Prior Group P</w:t>
      </w:r>
      <w:r>
        <w:rPr>
          <w:rFonts w:ascii="Arial" w:eastAsia="Times New Roman" w:hAnsi="Arial" w:cs="Arial"/>
          <w:color w:val="333333"/>
          <w:sz w:val="24"/>
          <w:szCs w:val="24"/>
          <w:lang w:eastAsia="en-GB"/>
        </w:rPr>
        <w:t>arish will in the main occur through rural building conversions</w:t>
      </w:r>
      <w:r w:rsidR="006725BA" w:rsidRPr="006725BA">
        <w:rPr>
          <w:rFonts w:ascii="Arial" w:eastAsia="Times New Roman" w:hAnsi="Arial" w:cs="Arial"/>
          <w:color w:val="333333"/>
          <w:sz w:val="24"/>
          <w:szCs w:val="24"/>
          <w:lang w:eastAsia="en-GB"/>
        </w:rPr>
        <w:t xml:space="preserve"> </w:t>
      </w:r>
      <w:r w:rsidR="006725BA">
        <w:rPr>
          <w:rFonts w:ascii="Arial" w:eastAsia="Times New Roman" w:hAnsi="Arial" w:cs="Arial"/>
          <w:color w:val="333333"/>
          <w:sz w:val="24"/>
          <w:szCs w:val="24"/>
          <w:lang w:eastAsia="en-GB"/>
        </w:rPr>
        <w:t xml:space="preserve">and agricultural dwellings. With regard to the former, historically Herefordshire has seen a consistent level of rural buildings conversions being brought forward across the County. Given changes in permitted development provisions in relation to such buildings and the move away within the NPPF from promoting conversions first to business use, this trend is considered at least to continue if not increase. It might safely be assumed that a limited number of rural building conversions including a small number involving farm complexes where a number of new dwellings will be permitted either through permitted development or </w:t>
      </w:r>
      <w:r w:rsidR="004C6FC6">
        <w:rPr>
          <w:rFonts w:ascii="Arial" w:eastAsia="Times New Roman" w:hAnsi="Arial" w:cs="Arial"/>
          <w:color w:val="333333"/>
          <w:sz w:val="24"/>
          <w:szCs w:val="24"/>
          <w:lang w:eastAsia="en-GB"/>
        </w:rPr>
        <w:t>planning permissions during the remaining 16 years of the plan period.</w:t>
      </w:r>
      <w:r w:rsidR="006725BA">
        <w:rPr>
          <w:rFonts w:ascii="Arial" w:eastAsia="Times New Roman" w:hAnsi="Arial" w:cs="Arial"/>
          <w:color w:val="333333"/>
          <w:sz w:val="24"/>
          <w:szCs w:val="24"/>
          <w:lang w:eastAsia="en-GB"/>
        </w:rPr>
        <w:t xml:space="preserve">  </w:t>
      </w:r>
      <w:r w:rsidR="004C6FC6">
        <w:rPr>
          <w:rFonts w:ascii="Arial" w:eastAsia="Times New Roman" w:hAnsi="Arial" w:cs="Arial"/>
          <w:color w:val="333333"/>
          <w:sz w:val="24"/>
          <w:szCs w:val="24"/>
          <w:lang w:eastAsia="en-GB"/>
        </w:rPr>
        <w:t xml:space="preserve">It would also be fair to assume a limited number of </w:t>
      </w:r>
      <w:r w:rsidR="006725BA">
        <w:rPr>
          <w:rFonts w:ascii="Arial" w:eastAsia="Times New Roman" w:hAnsi="Arial" w:cs="Arial"/>
          <w:color w:val="333333"/>
          <w:sz w:val="24"/>
          <w:szCs w:val="24"/>
          <w:lang w:eastAsia="en-GB"/>
        </w:rPr>
        <w:t xml:space="preserve">new </w:t>
      </w:r>
      <w:r w:rsidR="004C6FC6">
        <w:rPr>
          <w:rFonts w:ascii="Arial" w:eastAsia="Times New Roman" w:hAnsi="Arial" w:cs="Arial"/>
          <w:color w:val="333333"/>
          <w:sz w:val="24"/>
          <w:szCs w:val="24"/>
          <w:lang w:eastAsia="en-GB"/>
        </w:rPr>
        <w:t xml:space="preserve">agricultural dwellings will also be permitted. </w:t>
      </w:r>
      <w:r w:rsidR="004C6FC6" w:rsidRPr="00D458FD">
        <w:rPr>
          <w:rFonts w:ascii="Arial" w:eastAsia="Times New Roman" w:hAnsi="Arial" w:cs="Arial"/>
          <w:color w:val="333333"/>
          <w:sz w:val="24"/>
          <w:szCs w:val="24"/>
          <w:lang w:eastAsia="en-GB"/>
        </w:rPr>
        <w:t>Trends in terms of dwellings required in association with</w:t>
      </w:r>
      <w:r w:rsidR="00D458FD">
        <w:rPr>
          <w:rFonts w:ascii="Arial" w:eastAsia="Times New Roman" w:hAnsi="Arial" w:cs="Arial"/>
          <w:color w:val="333333"/>
          <w:sz w:val="24"/>
          <w:szCs w:val="24"/>
          <w:lang w:eastAsia="en-GB"/>
        </w:rPr>
        <w:t xml:space="preserve"> rural enterprises or of exceptional or innovative </w:t>
      </w:r>
      <w:r w:rsidR="00D458FD">
        <w:rPr>
          <w:rFonts w:ascii="Arial" w:eastAsia="Times New Roman" w:hAnsi="Arial" w:cs="Arial"/>
          <w:color w:val="333333"/>
          <w:sz w:val="24"/>
          <w:szCs w:val="24"/>
          <w:lang w:eastAsia="en-GB"/>
        </w:rPr>
        <w:lastRenderedPageBreak/>
        <w:t xml:space="preserve">design cannot be discerned at the parish level. Given the </w:t>
      </w:r>
      <w:r w:rsidR="0044657E">
        <w:rPr>
          <w:rFonts w:ascii="Arial" w:eastAsia="Times New Roman" w:hAnsi="Arial" w:cs="Arial"/>
          <w:color w:val="333333"/>
          <w:sz w:val="24"/>
          <w:szCs w:val="24"/>
          <w:lang w:eastAsia="en-GB"/>
        </w:rPr>
        <w:t xml:space="preserve">absence of any site comprises 10 or more dwellings within the Plan area </w:t>
      </w:r>
      <w:r w:rsidR="00D458FD">
        <w:rPr>
          <w:rFonts w:ascii="Arial" w:eastAsia="Times New Roman" w:hAnsi="Arial" w:cs="Arial"/>
          <w:color w:val="333333"/>
          <w:sz w:val="24"/>
          <w:szCs w:val="24"/>
          <w:lang w:eastAsia="en-GB"/>
        </w:rPr>
        <w:t xml:space="preserve">an affordable housing exception site adjacent to </w:t>
      </w:r>
      <w:r w:rsidR="0044657E">
        <w:rPr>
          <w:rFonts w:ascii="Arial" w:eastAsia="Times New Roman" w:hAnsi="Arial" w:cs="Arial"/>
          <w:color w:val="333333"/>
          <w:sz w:val="24"/>
          <w:szCs w:val="24"/>
          <w:lang w:eastAsia="en-GB"/>
        </w:rPr>
        <w:t xml:space="preserve">one of </w:t>
      </w:r>
      <w:r w:rsidR="00D458FD">
        <w:rPr>
          <w:rFonts w:ascii="Arial" w:eastAsia="Times New Roman" w:hAnsi="Arial" w:cs="Arial"/>
          <w:color w:val="333333"/>
          <w:sz w:val="24"/>
          <w:szCs w:val="24"/>
          <w:lang w:eastAsia="en-GB"/>
        </w:rPr>
        <w:t>the village</w:t>
      </w:r>
      <w:r w:rsidR="0044657E">
        <w:rPr>
          <w:rFonts w:ascii="Arial" w:eastAsia="Times New Roman" w:hAnsi="Arial" w:cs="Arial"/>
          <w:color w:val="333333"/>
          <w:sz w:val="24"/>
          <w:szCs w:val="24"/>
          <w:lang w:eastAsia="en-GB"/>
        </w:rPr>
        <w:t>s</w:t>
      </w:r>
      <w:r w:rsidR="00D458FD">
        <w:rPr>
          <w:rFonts w:ascii="Arial" w:eastAsia="Times New Roman" w:hAnsi="Arial" w:cs="Arial"/>
          <w:color w:val="333333"/>
          <w:sz w:val="24"/>
          <w:szCs w:val="24"/>
          <w:lang w:eastAsia="en-GB"/>
        </w:rPr>
        <w:t xml:space="preserve"> </w:t>
      </w:r>
      <w:r w:rsidR="0044657E">
        <w:rPr>
          <w:rFonts w:ascii="Arial" w:eastAsia="Times New Roman" w:hAnsi="Arial" w:cs="Arial"/>
          <w:color w:val="333333"/>
          <w:sz w:val="24"/>
          <w:szCs w:val="24"/>
          <w:lang w:eastAsia="en-GB"/>
        </w:rPr>
        <w:t xml:space="preserve">might be expected comprising a small number of houses </w:t>
      </w:r>
    </w:p>
    <w:p w:rsidR="00B16888" w:rsidRDefault="004E4826"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On th</w:t>
      </w:r>
      <w:r w:rsidR="00D458FD">
        <w:rPr>
          <w:rFonts w:ascii="Arial" w:eastAsia="Times New Roman" w:hAnsi="Arial" w:cs="Arial"/>
          <w:color w:val="333333"/>
          <w:sz w:val="24"/>
          <w:szCs w:val="24"/>
          <w:lang w:eastAsia="en-GB"/>
        </w:rPr>
        <w:t>e</w:t>
      </w:r>
      <w:r>
        <w:rPr>
          <w:rFonts w:ascii="Arial" w:eastAsia="Times New Roman" w:hAnsi="Arial" w:cs="Arial"/>
          <w:color w:val="333333"/>
          <w:sz w:val="24"/>
          <w:szCs w:val="24"/>
          <w:lang w:eastAsia="en-GB"/>
        </w:rPr>
        <w:t xml:space="preserve"> basis </w:t>
      </w:r>
      <w:r w:rsidR="00D458FD">
        <w:rPr>
          <w:rFonts w:ascii="Arial" w:eastAsia="Times New Roman" w:hAnsi="Arial" w:cs="Arial"/>
          <w:color w:val="333333"/>
          <w:sz w:val="24"/>
          <w:szCs w:val="24"/>
          <w:lang w:eastAsia="en-GB"/>
        </w:rPr>
        <w:t xml:space="preserve">set out </w:t>
      </w:r>
      <w:r w:rsidR="006D3CC1">
        <w:rPr>
          <w:rFonts w:ascii="Arial" w:eastAsia="Times New Roman" w:hAnsi="Arial" w:cs="Arial"/>
          <w:color w:val="333333"/>
          <w:sz w:val="24"/>
          <w:szCs w:val="24"/>
          <w:lang w:eastAsia="en-GB"/>
        </w:rPr>
        <w:t xml:space="preserve">above an </w:t>
      </w:r>
      <w:r>
        <w:rPr>
          <w:rFonts w:ascii="Arial" w:eastAsia="Times New Roman" w:hAnsi="Arial" w:cs="Arial"/>
          <w:color w:val="333333"/>
          <w:sz w:val="24"/>
          <w:szCs w:val="24"/>
          <w:lang w:eastAsia="en-GB"/>
        </w:rPr>
        <w:t xml:space="preserve">allowance of </w:t>
      </w:r>
      <w:r w:rsidR="006725BA">
        <w:rPr>
          <w:rFonts w:ascii="Arial" w:eastAsia="Times New Roman" w:hAnsi="Arial" w:cs="Arial"/>
          <w:color w:val="333333"/>
          <w:sz w:val="24"/>
          <w:szCs w:val="24"/>
          <w:lang w:eastAsia="en-GB"/>
        </w:rPr>
        <w:t>1</w:t>
      </w:r>
      <w:r w:rsidR="008C540F">
        <w:rPr>
          <w:rFonts w:ascii="Arial" w:eastAsia="Times New Roman" w:hAnsi="Arial" w:cs="Arial"/>
          <w:color w:val="333333"/>
          <w:sz w:val="24"/>
          <w:szCs w:val="24"/>
          <w:lang w:eastAsia="en-GB"/>
        </w:rPr>
        <w:t>6</w:t>
      </w:r>
      <w:r>
        <w:rPr>
          <w:rFonts w:ascii="Arial" w:eastAsia="Times New Roman" w:hAnsi="Arial" w:cs="Arial"/>
          <w:color w:val="333333"/>
          <w:sz w:val="24"/>
          <w:szCs w:val="24"/>
          <w:lang w:eastAsia="en-GB"/>
        </w:rPr>
        <w:t xml:space="preserve"> rural windfall dwellings </w:t>
      </w:r>
      <w:r w:rsidR="0044657E">
        <w:rPr>
          <w:rFonts w:ascii="Arial" w:eastAsia="Times New Roman" w:hAnsi="Arial" w:cs="Arial"/>
          <w:color w:val="333333"/>
          <w:sz w:val="24"/>
          <w:szCs w:val="24"/>
          <w:lang w:eastAsia="en-GB"/>
        </w:rPr>
        <w:t xml:space="preserve">over the plan period </w:t>
      </w:r>
      <w:r>
        <w:rPr>
          <w:rFonts w:ascii="Arial" w:eastAsia="Times New Roman" w:hAnsi="Arial" w:cs="Arial"/>
          <w:color w:val="333333"/>
          <w:sz w:val="24"/>
          <w:szCs w:val="24"/>
          <w:lang w:eastAsia="en-GB"/>
        </w:rPr>
        <w:t xml:space="preserve">would reflect a </w:t>
      </w:r>
      <w:r w:rsidR="0044657E">
        <w:rPr>
          <w:rFonts w:ascii="Arial" w:eastAsia="Times New Roman" w:hAnsi="Arial" w:cs="Arial"/>
          <w:color w:val="333333"/>
          <w:sz w:val="24"/>
          <w:szCs w:val="24"/>
          <w:lang w:eastAsia="en-GB"/>
        </w:rPr>
        <w:t xml:space="preserve">reasonable </w:t>
      </w:r>
      <w:r>
        <w:rPr>
          <w:rFonts w:ascii="Arial" w:eastAsia="Times New Roman" w:hAnsi="Arial" w:cs="Arial"/>
          <w:color w:val="333333"/>
          <w:sz w:val="24"/>
          <w:szCs w:val="24"/>
          <w:lang w:eastAsia="en-GB"/>
        </w:rPr>
        <w:t>estimation</w:t>
      </w:r>
      <w:r w:rsidR="0044657E">
        <w:rPr>
          <w:rFonts w:ascii="Arial" w:eastAsia="Times New Roman" w:hAnsi="Arial" w:cs="Arial"/>
          <w:color w:val="333333"/>
          <w:sz w:val="24"/>
          <w:szCs w:val="24"/>
          <w:lang w:eastAsia="en-GB"/>
        </w:rPr>
        <w:t xml:space="preserve"> although should a more modest approach be considered appropriate on order to plan positively for housing growth,</w:t>
      </w:r>
      <w:r w:rsidR="006D3CC1">
        <w:rPr>
          <w:rFonts w:ascii="Arial" w:eastAsia="Times New Roman" w:hAnsi="Arial" w:cs="Arial"/>
          <w:color w:val="333333"/>
          <w:sz w:val="24"/>
          <w:szCs w:val="24"/>
          <w:lang w:eastAsia="en-GB"/>
        </w:rPr>
        <w:t xml:space="preserve"> some </w:t>
      </w:r>
      <w:r w:rsidR="008C540F">
        <w:rPr>
          <w:rFonts w:ascii="Arial" w:eastAsia="Times New Roman" w:hAnsi="Arial" w:cs="Arial"/>
          <w:color w:val="333333"/>
          <w:sz w:val="24"/>
          <w:szCs w:val="24"/>
          <w:lang w:eastAsia="en-GB"/>
        </w:rPr>
        <w:t>3/4</w:t>
      </w:r>
      <w:r w:rsidR="006D3CC1">
        <w:rPr>
          <w:rFonts w:ascii="Arial" w:eastAsia="Times New Roman" w:hAnsi="Arial" w:cs="Arial"/>
          <w:color w:val="333333"/>
          <w:sz w:val="24"/>
          <w:szCs w:val="24"/>
          <w:vertAlign w:val="superscript"/>
          <w:lang w:eastAsia="en-GB"/>
        </w:rPr>
        <w:t xml:space="preserve"> </w:t>
      </w:r>
      <w:r w:rsidR="006D3CC1">
        <w:rPr>
          <w:rFonts w:ascii="Arial" w:eastAsia="Times New Roman" w:hAnsi="Arial" w:cs="Arial"/>
          <w:color w:val="333333"/>
          <w:sz w:val="24"/>
          <w:szCs w:val="24"/>
          <w:lang w:eastAsia="en-GB"/>
        </w:rPr>
        <w:t>of this allowance would provide a reasonable projection of allowance at the lower end, resulting in a range of 12-1</w:t>
      </w:r>
      <w:r w:rsidR="008C540F">
        <w:rPr>
          <w:rFonts w:ascii="Arial" w:eastAsia="Times New Roman" w:hAnsi="Arial" w:cs="Arial"/>
          <w:color w:val="333333"/>
          <w:sz w:val="24"/>
          <w:szCs w:val="24"/>
          <w:lang w:eastAsia="en-GB"/>
        </w:rPr>
        <w:t>6</w:t>
      </w:r>
      <w:r w:rsidR="006D3CC1">
        <w:rPr>
          <w:rFonts w:ascii="Arial" w:eastAsia="Times New Roman" w:hAnsi="Arial" w:cs="Arial"/>
          <w:color w:val="333333"/>
          <w:sz w:val="24"/>
          <w:szCs w:val="24"/>
          <w:lang w:eastAsia="en-GB"/>
        </w:rPr>
        <w:t xml:space="preserve"> rural windfall provision.</w:t>
      </w:r>
    </w:p>
    <w:p w:rsidR="004E4826" w:rsidRPr="004E4826" w:rsidRDefault="004E4826" w:rsidP="002335A1">
      <w:pPr>
        <w:spacing w:after="120" w:line="240" w:lineRule="auto"/>
        <w:ind w:left="709"/>
        <w:outlineLvl w:val="1"/>
        <w:rPr>
          <w:rFonts w:ascii="Arial" w:eastAsia="Times New Roman" w:hAnsi="Arial" w:cs="Arial"/>
          <w:color w:val="333333"/>
          <w:sz w:val="24"/>
          <w:szCs w:val="24"/>
          <w:u w:val="single"/>
          <w:lang w:eastAsia="en-GB"/>
        </w:rPr>
      </w:pPr>
      <w:r w:rsidRPr="00E37779">
        <w:rPr>
          <w:rFonts w:ascii="Arial" w:eastAsia="Times New Roman" w:hAnsi="Arial" w:cs="Arial"/>
          <w:color w:val="333333"/>
          <w:sz w:val="24"/>
          <w:szCs w:val="24"/>
          <w:u w:val="single"/>
          <w:lang w:eastAsia="en-GB"/>
        </w:rPr>
        <w:t>Single Plots and Small Sites within Settlements</w:t>
      </w:r>
      <w:r w:rsidRPr="004E4826">
        <w:rPr>
          <w:rFonts w:ascii="Arial" w:eastAsia="Times New Roman" w:hAnsi="Arial" w:cs="Arial"/>
          <w:color w:val="333333"/>
          <w:sz w:val="24"/>
          <w:szCs w:val="24"/>
          <w:u w:val="single"/>
          <w:lang w:eastAsia="en-GB"/>
        </w:rPr>
        <w:t xml:space="preserve"> </w:t>
      </w:r>
    </w:p>
    <w:p w:rsidR="00F6328A" w:rsidRDefault="00852F77"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The approach proposed in each of the three settlements is to release small and individual plots within the settlement boundaries rather than promote sizeable site allocations. This reflects the community’s view about the avoidance of suburban estate forms. </w:t>
      </w:r>
      <w:r w:rsidR="004E4826" w:rsidRPr="00F6328A">
        <w:rPr>
          <w:rFonts w:ascii="Arial" w:eastAsia="Times New Roman" w:hAnsi="Arial" w:cs="Arial"/>
          <w:color w:val="333333"/>
          <w:sz w:val="24"/>
          <w:szCs w:val="24"/>
          <w:lang w:eastAsia="en-GB"/>
        </w:rPr>
        <w:t>Utilising a similar approach to that for rural windfalls based upon historic windfall delivery rates</w:t>
      </w:r>
      <w:r w:rsidR="007C2126" w:rsidRPr="00F6328A">
        <w:rPr>
          <w:rFonts w:ascii="Arial" w:eastAsia="Times New Roman" w:hAnsi="Arial" w:cs="Arial"/>
          <w:color w:val="333333"/>
          <w:sz w:val="24"/>
          <w:szCs w:val="24"/>
          <w:lang w:eastAsia="en-GB"/>
        </w:rPr>
        <w:t xml:space="preserve"> over the period 2001 – 2015, the annual rate was </w:t>
      </w:r>
      <w:r w:rsidR="00EC2255" w:rsidRPr="00F6328A">
        <w:rPr>
          <w:rFonts w:ascii="Arial" w:eastAsia="Times New Roman" w:hAnsi="Arial" w:cs="Arial"/>
          <w:color w:val="333333"/>
          <w:sz w:val="24"/>
          <w:szCs w:val="24"/>
          <w:lang w:eastAsia="en-GB"/>
        </w:rPr>
        <w:t>1.79</w:t>
      </w:r>
      <w:r w:rsidR="007C2126" w:rsidRPr="00F6328A">
        <w:rPr>
          <w:rFonts w:ascii="Arial" w:eastAsia="Times New Roman" w:hAnsi="Arial" w:cs="Arial"/>
          <w:color w:val="333333"/>
          <w:sz w:val="24"/>
          <w:szCs w:val="24"/>
          <w:lang w:eastAsia="en-GB"/>
        </w:rPr>
        <w:t xml:space="preserve"> dwellings within </w:t>
      </w:r>
      <w:r w:rsidR="00EC2255" w:rsidRPr="00F6328A">
        <w:rPr>
          <w:rFonts w:ascii="Arial" w:eastAsia="Times New Roman" w:hAnsi="Arial" w:cs="Arial"/>
          <w:color w:val="333333"/>
          <w:sz w:val="24"/>
          <w:szCs w:val="24"/>
          <w:lang w:eastAsia="en-GB"/>
        </w:rPr>
        <w:t xml:space="preserve">the three </w:t>
      </w:r>
      <w:r w:rsidR="007C2126" w:rsidRPr="00F6328A">
        <w:rPr>
          <w:rFonts w:ascii="Arial" w:eastAsia="Times New Roman" w:hAnsi="Arial" w:cs="Arial"/>
          <w:color w:val="333333"/>
          <w:sz w:val="24"/>
          <w:szCs w:val="24"/>
          <w:lang w:eastAsia="en-GB"/>
        </w:rPr>
        <w:t>settlement boundar</w:t>
      </w:r>
      <w:r w:rsidR="00EC2255" w:rsidRPr="00F6328A">
        <w:rPr>
          <w:rFonts w:ascii="Arial" w:eastAsia="Times New Roman" w:hAnsi="Arial" w:cs="Arial"/>
          <w:color w:val="333333"/>
          <w:sz w:val="24"/>
          <w:szCs w:val="24"/>
          <w:lang w:eastAsia="en-GB"/>
        </w:rPr>
        <w:t>ies</w:t>
      </w:r>
      <w:r w:rsidR="007C2126" w:rsidRPr="00F6328A">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T</w:t>
      </w:r>
      <w:r w:rsidR="007C2126" w:rsidRPr="00F6328A">
        <w:rPr>
          <w:rFonts w:ascii="Arial" w:eastAsia="Times New Roman" w:hAnsi="Arial" w:cs="Arial"/>
          <w:color w:val="333333"/>
          <w:sz w:val="24"/>
          <w:szCs w:val="24"/>
          <w:lang w:eastAsia="en-GB"/>
        </w:rPr>
        <w:t>h</w:t>
      </w:r>
      <w:r w:rsidR="00E710DE" w:rsidRPr="00F6328A">
        <w:rPr>
          <w:rFonts w:ascii="Arial" w:eastAsia="Times New Roman" w:hAnsi="Arial" w:cs="Arial"/>
          <w:color w:val="333333"/>
          <w:sz w:val="24"/>
          <w:szCs w:val="24"/>
          <w:lang w:eastAsia="en-GB"/>
        </w:rPr>
        <w:t>is</w:t>
      </w:r>
      <w:r w:rsidR="007C2126" w:rsidRPr="00F6328A">
        <w:rPr>
          <w:rFonts w:ascii="Arial" w:eastAsia="Times New Roman" w:hAnsi="Arial" w:cs="Arial"/>
          <w:color w:val="333333"/>
          <w:sz w:val="24"/>
          <w:szCs w:val="24"/>
          <w:lang w:eastAsia="en-GB"/>
        </w:rPr>
        <w:t xml:space="preserve"> trend rate</w:t>
      </w:r>
      <w:r>
        <w:rPr>
          <w:rFonts w:ascii="Arial" w:eastAsia="Times New Roman" w:hAnsi="Arial" w:cs="Arial"/>
          <w:color w:val="333333"/>
          <w:sz w:val="24"/>
          <w:szCs w:val="24"/>
          <w:lang w:eastAsia="en-GB"/>
        </w:rPr>
        <w:t xml:space="preserve"> suggests</w:t>
      </w:r>
      <w:r w:rsidR="007C2126" w:rsidRPr="00F6328A">
        <w:rPr>
          <w:rFonts w:ascii="Arial" w:eastAsia="Times New Roman" w:hAnsi="Arial" w:cs="Arial"/>
          <w:color w:val="333333"/>
          <w:sz w:val="24"/>
          <w:szCs w:val="24"/>
          <w:lang w:eastAsia="en-GB"/>
        </w:rPr>
        <w:t xml:space="preserve"> </w:t>
      </w:r>
      <w:r w:rsidR="00EC2255" w:rsidRPr="00F6328A">
        <w:rPr>
          <w:rFonts w:ascii="Arial" w:eastAsia="Times New Roman" w:hAnsi="Arial" w:cs="Arial"/>
          <w:color w:val="333333"/>
          <w:sz w:val="24"/>
          <w:szCs w:val="24"/>
          <w:lang w:eastAsia="en-GB"/>
        </w:rPr>
        <w:t>36</w:t>
      </w:r>
      <w:r w:rsidR="00E710DE" w:rsidRPr="00F6328A">
        <w:rPr>
          <w:rFonts w:ascii="Arial" w:eastAsia="Times New Roman" w:hAnsi="Arial" w:cs="Arial"/>
          <w:color w:val="333333"/>
          <w:sz w:val="24"/>
          <w:szCs w:val="24"/>
          <w:lang w:eastAsia="en-GB"/>
        </w:rPr>
        <w:t xml:space="preserve"> </w:t>
      </w:r>
      <w:r w:rsidR="007C2126" w:rsidRPr="00F6328A">
        <w:rPr>
          <w:rFonts w:ascii="Arial" w:eastAsia="Times New Roman" w:hAnsi="Arial" w:cs="Arial"/>
          <w:color w:val="333333"/>
          <w:sz w:val="24"/>
          <w:szCs w:val="24"/>
          <w:lang w:eastAsia="en-GB"/>
        </w:rPr>
        <w:t xml:space="preserve">dwellings might come forward through windfalls within </w:t>
      </w:r>
      <w:r w:rsidR="00EC2255" w:rsidRPr="00F6328A">
        <w:rPr>
          <w:rFonts w:ascii="Arial" w:eastAsia="Times New Roman" w:hAnsi="Arial" w:cs="Arial"/>
          <w:color w:val="333333"/>
          <w:sz w:val="24"/>
          <w:szCs w:val="24"/>
          <w:lang w:eastAsia="en-GB"/>
        </w:rPr>
        <w:t>the three villages</w:t>
      </w:r>
      <w:r w:rsidR="007C2126" w:rsidRPr="00F6328A">
        <w:rPr>
          <w:rFonts w:ascii="Arial" w:eastAsia="Times New Roman" w:hAnsi="Arial" w:cs="Arial"/>
          <w:color w:val="333333"/>
          <w:sz w:val="24"/>
          <w:szCs w:val="24"/>
          <w:lang w:eastAsia="en-GB"/>
        </w:rPr>
        <w:t>.</w:t>
      </w:r>
      <w:r w:rsidR="00EC2255" w:rsidRPr="00F6328A">
        <w:rPr>
          <w:rFonts w:ascii="Arial" w:eastAsia="Times New Roman" w:hAnsi="Arial" w:cs="Arial"/>
          <w:color w:val="333333"/>
          <w:sz w:val="24"/>
          <w:szCs w:val="24"/>
          <w:lang w:eastAsia="en-GB"/>
        </w:rPr>
        <w:t xml:space="preserve"> It should however be recognised that for at least some of that period only Stoke Prior was identified as a settlement within which housing development might take place on infill plots. </w:t>
      </w:r>
      <w:r w:rsidR="007C2126" w:rsidRPr="00F6328A">
        <w:rPr>
          <w:rFonts w:ascii="Arial" w:eastAsia="Times New Roman" w:hAnsi="Arial" w:cs="Arial"/>
          <w:color w:val="333333"/>
          <w:sz w:val="24"/>
          <w:szCs w:val="24"/>
          <w:lang w:eastAsia="en-GB"/>
        </w:rPr>
        <w:t xml:space="preserve"> </w:t>
      </w:r>
      <w:r w:rsidR="00EC2255" w:rsidRPr="00F6328A">
        <w:rPr>
          <w:rFonts w:ascii="Arial" w:eastAsia="Times New Roman" w:hAnsi="Arial" w:cs="Arial"/>
          <w:color w:val="333333"/>
          <w:sz w:val="24"/>
          <w:szCs w:val="24"/>
          <w:lang w:eastAsia="en-GB"/>
        </w:rPr>
        <w:t>Steensbridge has never before been defined as a settlement for development.</w:t>
      </w:r>
      <w:r w:rsidR="00F6328A" w:rsidRPr="00F6328A">
        <w:rPr>
          <w:rFonts w:ascii="Arial" w:eastAsia="Times New Roman" w:hAnsi="Arial" w:cs="Arial"/>
          <w:color w:val="333333"/>
          <w:sz w:val="24"/>
          <w:szCs w:val="24"/>
          <w:lang w:eastAsia="en-GB"/>
        </w:rPr>
        <w:t xml:space="preserve"> </w:t>
      </w:r>
      <w:r w:rsidR="00F6328A">
        <w:rPr>
          <w:rFonts w:ascii="Arial" w:eastAsia="Times New Roman" w:hAnsi="Arial" w:cs="Arial"/>
          <w:color w:val="333333"/>
          <w:sz w:val="24"/>
          <w:szCs w:val="24"/>
          <w:lang w:eastAsia="en-GB"/>
        </w:rPr>
        <w:t xml:space="preserve">Further plots may have been released in the villages should planning policy have enabled this. </w:t>
      </w:r>
      <w:r w:rsidR="00F6328A" w:rsidRPr="00F6328A">
        <w:rPr>
          <w:rFonts w:ascii="Arial" w:eastAsia="Times New Roman" w:hAnsi="Arial" w:cs="Arial"/>
          <w:color w:val="333333"/>
          <w:sz w:val="24"/>
          <w:szCs w:val="24"/>
          <w:lang w:eastAsia="en-GB"/>
        </w:rPr>
        <w:t>Essentially this analysis shows that there is propensity to release</w:t>
      </w:r>
      <w:r w:rsidR="00F6328A">
        <w:rPr>
          <w:rFonts w:ascii="Arial" w:eastAsia="Times New Roman" w:hAnsi="Arial" w:cs="Arial"/>
          <w:color w:val="333333"/>
          <w:sz w:val="24"/>
          <w:szCs w:val="24"/>
          <w:lang w:eastAsia="en-GB"/>
        </w:rPr>
        <w:t xml:space="preserve"> </w:t>
      </w:r>
      <w:r w:rsidR="00F6328A" w:rsidRPr="00F6328A">
        <w:rPr>
          <w:rFonts w:ascii="Arial" w:eastAsia="Times New Roman" w:hAnsi="Arial" w:cs="Arial"/>
          <w:color w:val="333333"/>
          <w:sz w:val="24"/>
          <w:szCs w:val="24"/>
          <w:lang w:eastAsia="en-GB"/>
        </w:rPr>
        <w:t>infill plots</w:t>
      </w:r>
      <w:r w:rsidR="00F6328A">
        <w:rPr>
          <w:rFonts w:ascii="Arial" w:eastAsia="Times New Roman" w:hAnsi="Arial" w:cs="Arial"/>
          <w:color w:val="333333"/>
          <w:sz w:val="24"/>
          <w:szCs w:val="24"/>
          <w:lang w:eastAsia="en-GB"/>
        </w:rPr>
        <w:t xml:space="preserve"> should they be </w:t>
      </w:r>
      <w:r>
        <w:rPr>
          <w:rFonts w:ascii="Arial" w:eastAsia="Times New Roman" w:hAnsi="Arial" w:cs="Arial"/>
          <w:color w:val="333333"/>
          <w:sz w:val="24"/>
          <w:szCs w:val="24"/>
          <w:lang w:eastAsia="en-GB"/>
        </w:rPr>
        <w:t>within appropriate frontages</w:t>
      </w:r>
      <w:r w:rsidR="00F6328A">
        <w:rPr>
          <w:rFonts w:ascii="Arial" w:eastAsia="Times New Roman" w:hAnsi="Arial" w:cs="Arial"/>
          <w:color w:val="333333"/>
          <w:sz w:val="24"/>
          <w:szCs w:val="24"/>
          <w:lang w:eastAsia="en-GB"/>
        </w:rPr>
        <w:t>.</w:t>
      </w:r>
    </w:p>
    <w:p w:rsidR="00F87081" w:rsidRPr="00F6328A" w:rsidRDefault="00F6328A"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w:t>
      </w:r>
      <w:r w:rsidR="00F87081" w:rsidRPr="00F6328A">
        <w:rPr>
          <w:rFonts w:ascii="Arial" w:eastAsia="Times New Roman" w:hAnsi="Arial" w:cs="Arial"/>
          <w:color w:val="333333"/>
          <w:sz w:val="24"/>
          <w:szCs w:val="24"/>
          <w:lang w:eastAsia="en-GB"/>
        </w:rPr>
        <w:t xml:space="preserve">n analysis of future trends </w:t>
      </w:r>
      <w:r w:rsidR="004E3F0A" w:rsidRPr="00F6328A">
        <w:rPr>
          <w:rFonts w:ascii="Arial" w:eastAsia="Times New Roman" w:hAnsi="Arial" w:cs="Arial"/>
          <w:color w:val="333333"/>
          <w:sz w:val="24"/>
          <w:szCs w:val="24"/>
          <w:lang w:eastAsia="en-GB"/>
        </w:rPr>
        <w:t xml:space="preserve">for development within settlements </w:t>
      </w:r>
      <w:r w:rsidR="00F87081" w:rsidRPr="00F6328A">
        <w:rPr>
          <w:rFonts w:ascii="Arial" w:eastAsia="Times New Roman" w:hAnsi="Arial" w:cs="Arial"/>
          <w:color w:val="333333"/>
          <w:sz w:val="24"/>
          <w:szCs w:val="24"/>
          <w:lang w:eastAsia="en-GB"/>
        </w:rPr>
        <w:t>needs to take into account:</w:t>
      </w:r>
    </w:p>
    <w:p w:rsidR="00F87081" w:rsidRDefault="00F87081" w:rsidP="002335A1">
      <w:pPr>
        <w:pStyle w:val="ListParagraph"/>
        <w:numPr>
          <w:ilvl w:val="0"/>
          <w:numId w:val="4"/>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The fact that </w:t>
      </w:r>
      <w:r w:rsidR="00F6328A">
        <w:rPr>
          <w:rFonts w:ascii="Arial" w:eastAsia="Times New Roman" w:hAnsi="Arial" w:cs="Arial"/>
          <w:color w:val="333333"/>
          <w:sz w:val="24"/>
          <w:szCs w:val="24"/>
          <w:lang w:eastAsia="en-GB"/>
        </w:rPr>
        <w:t xml:space="preserve">some </w:t>
      </w:r>
      <w:r>
        <w:rPr>
          <w:rFonts w:ascii="Arial" w:eastAsia="Times New Roman" w:hAnsi="Arial" w:cs="Arial"/>
          <w:color w:val="333333"/>
          <w:sz w:val="24"/>
          <w:szCs w:val="24"/>
          <w:lang w:eastAsia="en-GB"/>
        </w:rPr>
        <w:t xml:space="preserve">opportunities for </w:t>
      </w:r>
      <w:r w:rsidR="00F157D9">
        <w:rPr>
          <w:rFonts w:ascii="Arial" w:eastAsia="Times New Roman" w:hAnsi="Arial" w:cs="Arial"/>
          <w:color w:val="333333"/>
          <w:sz w:val="24"/>
          <w:szCs w:val="24"/>
          <w:lang w:eastAsia="en-GB"/>
        </w:rPr>
        <w:t xml:space="preserve">infill </w:t>
      </w:r>
      <w:r>
        <w:rPr>
          <w:rFonts w:ascii="Arial" w:eastAsia="Times New Roman" w:hAnsi="Arial" w:cs="Arial"/>
          <w:color w:val="333333"/>
          <w:sz w:val="24"/>
          <w:szCs w:val="24"/>
          <w:lang w:eastAsia="en-GB"/>
        </w:rPr>
        <w:t xml:space="preserve">development within the </w:t>
      </w:r>
      <w:r w:rsidR="00F157D9">
        <w:rPr>
          <w:rFonts w:ascii="Arial" w:eastAsia="Times New Roman" w:hAnsi="Arial" w:cs="Arial"/>
          <w:color w:val="333333"/>
          <w:sz w:val="24"/>
          <w:szCs w:val="24"/>
          <w:lang w:eastAsia="en-GB"/>
        </w:rPr>
        <w:t xml:space="preserve">confines of Stoke Prior </w:t>
      </w:r>
      <w:r>
        <w:rPr>
          <w:rFonts w:ascii="Arial" w:eastAsia="Times New Roman" w:hAnsi="Arial" w:cs="Arial"/>
          <w:color w:val="333333"/>
          <w:sz w:val="24"/>
          <w:szCs w:val="24"/>
          <w:lang w:eastAsia="en-GB"/>
        </w:rPr>
        <w:t>have been utilised</w:t>
      </w:r>
      <w:r w:rsidR="00F6328A">
        <w:rPr>
          <w:rFonts w:ascii="Arial" w:eastAsia="Times New Roman" w:hAnsi="Arial" w:cs="Arial"/>
          <w:color w:val="333333"/>
          <w:sz w:val="24"/>
          <w:szCs w:val="24"/>
          <w:lang w:eastAsia="en-GB"/>
        </w:rPr>
        <w:t xml:space="preserve"> over the past 14 years</w:t>
      </w:r>
      <w:r>
        <w:rPr>
          <w:rFonts w:ascii="Arial" w:eastAsia="Times New Roman" w:hAnsi="Arial" w:cs="Arial"/>
          <w:color w:val="333333"/>
          <w:sz w:val="24"/>
          <w:szCs w:val="24"/>
          <w:lang w:eastAsia="en-GB"/>
        </w:rPr>
        <w:t>;</w:t>
      </w:r>
    </w:p>
    <w:p w:rsidR="00F87081" w:rsidRDefault="00F157D9" w:rsidP="002335A1">
      <w:pPr>
        <w:pStyle w:val="ListParagraph"/>
        <w:numPr>
          <w:ilvl w:val="0"/>
          <w:numId w:val="4"/>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The extent of settlement boundaries that might be </w:t>
      </w:r>
      <w:r w:rsidR="00F87081">
        <w:rPr>
          <w:rFonts w:ascii="Arial" w:eastAsia="Times New Roman" w:hAnsi="Arial" w:cs="Arial"/>
          <w:color w:val="333333"/>
          <w:sz w:val="24"/>
          <w:szCs w:val="24"/>
          <w:lang w:eastAsia="en-GB"/>
        </w:rPr>
        <w:t>proposed</w:t>
      </w:r>
      <w:r w:rsidR="00BA1EAB">
        <w:rPr>
          <w:rFonts w:ascii="Arial" w:eastAsia="Times New Roman" w:hAnsi="Arial" w:cs="Arial"/>
          <w:color w:val="333333"/>
          <w:sz w:val="24"/>
          <w:szCs w:val="24"/>
          <w:lang w:eastAsia="en-GB"/>
        </w:rPr>
        <w:t>;</w:t>
      </w:r>
    </w:p>
    <w:p w:rsidR="00F87081" w:rsidRPr="00F87081" w:rsidRDefault="00F87081" w:rsidP="002335A1">
      <w:pPr>
        <w:pStyle w:val="ListParagraph"/>
        <w:numPr>
          <w:ilvl w:val="0"/>
          <w:numId w:val="4"/>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The </w:t>
      </w:r>
      <w:r w:rsidR="00F157D9">
        <w:rPr>
          <w:rFonts w:ascii="Arial" w:eastAsia="Times New Roman" w:hAnsi="Arial" w:cs="Arial"/>
          <w:color w:val="333333"/>
          <w:sz w:val="24"/>
          <w:szCs w:val="24"/>
          <w:lang w:eastAsia="en-GB"/>
        </w:rPr>
        <w:t xml:space="preserve">approach to accommodating housing across the three settlements, especially in the light of changes to </w:t>
      </w:r>
      <w:r>
        <w:rPr>
          <w:rFonts w:ascii="Arial" w:eastAsia="Times New Roman" w:hAnsi="Arial" w:cs="Arial"/>
          <w:color w:val="333333"/>
          <w:sz w:val="24"/>
          <w:szCs w:val="24"/>
          <w:lang w:eastAsia="en-GB"/>
        </w:rPr>
        <w:t>Herefordshire Core Strategy Policy RA2</w:t>
      </w:r>
      <w:r w:rsidR="00F157D9">
        <w:rPr>
          <w:rFonts w:ascii="Arial" w:eastAsia="Times New Roman" w:hAnsi="Arial" w:cs="Arial"/>
          <w:color w:val="333333"/>
          <w:sz w:val="24"/>
          <w:szCs w:val="24"/>
          <w:lang w:eastAsia="en-GB"/>
        </w:rPr>
        <w:t xml:space="preserve"> and the implications of this in particular for Steensbridge</w:t>
      </w:r>
      <w:r w:rsidR="00962980">
        <w:rPr>
          <w:rFonts w:ascii="Arial" w:eastAsia="Times New Roman" w:hAnsi="Arial" w:cs="Arial"/>
          <w:color w:val="333333"/>
          <w:sz w:val="24"/>
          <w:szCs w:val="24"/>
          <w:lang w:eastAsia="en-GB"/>
        </w:rPr>
        <w:t>.</w:t>
      </w:r>
    </w:p>
    <w:p w:rsidR="00F6328A" w:rsidRPr="00F6328A" w:rsidRDefault="00F6328A"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u w:val="single"/>
          <w:lang w:eastAsia="en-GB"/>
        </w:rPr>
      </w:pPr>
      <w:r>
        <w:rPr>
          <w:rFonts w:ascii="Arial" w:eastAsia="Times New Roman" w:hAnsi="Arial" w:cs="Arial"/>
          <w:color w:val="333333"/>
          <w:sz w:val="24"/>
          <w:szCs w:val="24"/>
          <w:lang w:eastAsia="en-GB"/>
        </w:rPr>
        <w:t xml:space="preserve">Despite the change in approach following the Inspector’s modifications to Herefordshire Core Strategy </w:t>
      </w:r>
      <w:r w:rsidRPr="00F6328A">
        <w:rPr>
          <w:rFonts w:ascii="Arial" w:eastAsia="Times New Roman" w:hAnsi="Arial" w:cs="Arial"/>
          <w:color w:val="333333"/>
          <w:sz w:val="24"/>
          <w:szCs w:val="24"/>
          <w:lang w:eastAsia="en-GB"/>
        </w:rPr>
        <w:t>HFSPNDP Steering Group</w:t>
      </w:r>
      <w:r w:rsidRPr="00F6328A">
        <w:rPr>
          <w:rFonts w:ascii="Arial" w:eastAsia="Times New Roman" w:hAnsi="Arial" w:cs="Arial"/>
          <w:color w:val="333333"/>
          <w:sz w:val="24"/>
          <w:szCs w:val="24"/>
          <w:u w:val="single"/>
          <w:lang w:eastAsia="en-GB"/>
        </w:rPr>
        <w:t xml:space="preserve"> </w:t>
      </w:r>
      <w:r w:rsidRPr="00F6328A">
        <w:rPr>
          <w:rFonts w:ascii="Arial" w:eastAsia="Times New Roman" w:hAnsi="Arial" w:cs="Arial"/>
          <w:color w:val="333333"/>
          <w:sz w:val="24"/>
          <w:szCs w:val="24"/>
          <w:lang w:eastAsia="en-GB"/>
        </w:rPr>
        <w:t>has continued its initial approach</w:t>
      </w:r>
      <w:r>
        <w:rPr>
          <w:rFonts w:ascii="Arial" w:eastAsia="Times New Roman" w:hAnsi="Arial" w:cs="Arial"/>
          <w:color w:val="333333"/>
          <w:sz w:val="24"/>
          <w:szCs w:val="24"/>
          <w:lang w:eastAsia="en-GB"/>
        </w:rPr>
        <w:t xml:space="preserve"> of seeking to promote development within all three of its named settlements. It proposes to release sites through defining settlement boundaries for all three villages. </w:t>
      </w:r>
      <w:r w:rsidRPr="00F6328A">
        <w:rPr>
          <w:rFonts w:ascii="Arial" w:eastAsia="Times New Roman" w:hAnsi="Arial" w:cs="Arial"/>
          <w:color w:val="333333"/>
          <w:sz w:val="24"/>
          <w:szCs w:val="24"/>
          <w:u w:val="single"/>
          <w:lang w:eastAsia="en-GB"/>
        </w:rPr>
        <w:t xml:space="preserve"> </w:t>
      </w:r>
    </w:p>
    <w:p w:rsidR="00F960A6" w:rsidRDefault="00F157D9"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23496B">
        <w:rPr>
          <w:rFonts w:ascii="Arial" w:eastAsia="Times New Roman" w:hAnsi="Arial" w:cs="Arial"/>
          <w:color w:val="333333"/>
          <w:sz w:val="24"/>
          <w:szCs w:val="24"/>
          <w:u w:val="single"/>
          <w:lang w:eastAsia="en-GB"/>
        </w:rPr>
        <w:t>Stoke Prior</w:t>
      </w:r>
      <w:r w:rsidR="00962980" w:rsidRPr="0023496B">
        <w:rPr>
          <w:rFonts w:ascii="Arial" w:eastAsia="Times New Roman" w:hAnsi="Arial" w:cs="Arial"/>
          <w:color w:val="333333"/>
          <w:sz w:val="24"/>
          <w:szCs w:val="24"/>
          <w:lang w:eastAsia="en-GB"/>
        </w:rPr>
        <w:t>:</w:t>
      </w:r>
      <w:r w:rsidR="00BA1EAB">
        <w:rPr>
          <w:rFonts w:ascii="Arial" w:eastAsia="Times New Roman" w:hAnsi="Arial" w:cs="Arial"/>
          <w:color w:val="333333"/>
          <w:sz w:val="24"/>
          <w:szCs w:val="24"/>
          <w:lang w:eastAsia="en-GB"/>
        </w:rPr>
        <w:t xml:space="preserve"> </w:t>
      </w:r>
      <w:r w:rsidR="00F960A6">
        <w:rPr>
          <w:rFonts w:ascii="Arial" w:eastAsia="Times New Roman" w:hAnsi="Arial" w:cs="Arial"/>
          <w:color w:val="333333"/>
          <w:sz w:val="24"/>
          <w:szCs w:val="24"/>
          <w:lang w:eastAsia="en-GB"/>
        </w:rPr>
        <w:t xml:space="preserve">The settlement boundary for Stoke Prior incorporates a site recently granted planning permission for 8 dwellings as well as a number of smaller infill plots that also have planning permission. In total these amount to </w:t>
      </w:r>
      <w:r w:rsidR="00F960A6" w:rsidRPr="00852F77">
        <w:rPr>
          <w:rFonts w:ascii="Arial" w:eastAsia="Times New Roman" w:hAnsi="Arial" w:cs="Arial"/>
          <w:b/>
          <w:color w:val="333333"/>
          <w:sz w:val="24"/>
          <w:szCs w:val="24"/>
          <w:lang w:eastAsia="en-GB"/>
        </w:rPr>
        <w:t>14 dwellings</w:t>
      </w:r>
      <w:r w:rsidR="00F960A6">
        <w:rPr>
          <w:rFonts w:ascii="Arial" w:eastAsia="Times New Roman" w:hAnsi="Arial" w:cs="Arial"/>
          <w:color w:val="333333"/>
          <w:sz w:val="24"/>
          <w:szCs w:val="24"/>
          <w:lang w:eastAsia="en-GB"/>
        </w:rPr>
        <w:t xml:space="preserve"> that would remain commitments through falling within the settlement boundary.</w:t>
      </w:r>
    </w:p>
    <w:p w:rsidR="00F960A6" w:rsidRPr="00F960A6" w:rsidRDefault="00F960A6"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F960A6">
        <w:rPr>
          <w:rFonts w:ascii="Arial" w:eastAsia="Times New Roman" w:hAnsi="Arial" w:cs="Arial"/>
          <w:color w:val="333333"/>
          <w:sz w:val="24"/>
          <w:szCs w:val="24"/>
          <w:lang w:eastAsia="en-GB"/>
        </w:rPr>
        <w:t xml:space="preserve">Small </w:t>
      </w:r>
      <w:r>
        <w:rPr>
          <w:rFonts w:ascii="Arial" w:eastAsia="Times New Roman" w:hAnsi="Arial" w:cs="Arial"/>
          <w:color w:val="333333"/>
          <w:sz w:val="24"/>
          <w:szCs w:val="24"/>
          <w:lang w:eastAsia="en-GB"/>
        </w:rPr>
        <w:t xml:space="preserve">infill </w:t>
      </w:r>
      <w:r w:rsidRPr="00F960A6">
        <w:rPr>
          <w:rFonts w:ascii="Arial" w:eastAsia="Times New Roman" w:hAnsi="Arial" w:cs="Arial"/>
          <w:color w:val="333333"/>
          <w:sz w:val="24"/>
          <w:szCs w:val="24"/>
          <w:lang w:eastAsia="en-GB"/>
        </w:rPr>
        <w:t xml:space="preserve">site amounting to a further </w:t>
      </w:r>
      <w:r w:rsidRPr="00852F77">
        <w:rPr>
          <w:rFonts w:ascii="Arial" w:eastAsia="Times New Roman" w:hAnsi="Arial" w:cs="Arial"/>
          <w:b/>
          <w:color w:val="333333"/>
          <w:sz w:val="24"/>
          <w:szCs w:val="24"/>
          <w:lang w:eastAsia="en-GB"/>
        </w:rPr>
        <w:t>12 dwellings</w:t>
      </w:r>
      <w:r>
        <w:rPr>
          <w:rFonts w:ascii="Arial" w:eastAsia="Times New Roman" w:hAnsi="Arial" w:cs="Arial"/>
          <w:color w:val="333333"/>
          <w:sz w:val="24"/>
          <w:szCs w:val="24"/>
          <w:lang w:eastAsia="en-GB"/>
        </w:rPr>
        <w:t xml:space="preserve"> have been identified that landowners would be willing to release for development within then plan-period.  </w:t>
      </w:r>
    </w:p>
    <w:p w:rsidR="00F960A6" w:rsidRDefault="0023496B"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lastRenderedPageBreak/>
        <w:t xml:space="preserve">In addition </w:t>
      </w:r>
      <w:r w:rsidR="00F960A6">
        <w:rPr>
          <w:rFonts w:ascii="Arial" w:eastAsia="Times New Roman" w:hAnsi="Arial" w:cs="Arial"/>
          <w:color w:val="333333"/>
          <w:sz w:val="24"/>
          <w:szCs w:val="24"/>
          <w:lang w:eastAsia="en-GB"/>
        </w:rPr>
        <w:t>a site to the east of the Bury</w:t>
      </w:r>
      <w:r>
        <w:rPr>
          <w:rFonts w:ascii="Arial" w:eastAsia="Times New Roman" w:hAnsi="Arial" w:cs="Arial"/>
          <w:color w:val="333333"/>
          <w:sz w:val="24"/>
          <w:szCs w:val="24"/>
          <w:lang w:eastAsia="en-GB"/>
        </w:rPr>
        <w:t xml:space="preserve">, which </w:t>
      </w:r>
      <w:r w:rsidR="00F960A6">
        <w:rPr>
          <w:rFonts w:ascii="Arial" w:eastAsia="Times New Roman" w:hAnsi="Arial" w:cs="Arial"/>
          <w:color w:val="333333"/>
          <w:sz w:val="24"/>
          <w:szCs w:val="24"/>
          <w:lang w:eastAsia="en-GB"/>
        </w:rPr>
        <w:t xml:space="preserve">might accommodate a </w:t>
      </w:r>
      <w:r w:rsidR="00F960A6" w:rsidRPr="00852F77">
        <w:rPr>
          <w:rFonts w:ascii="Arial" w:eastAsia="Times New Roman" w:hAnsi="Arial" w:cs="Arial"/>
          <w:b/>
          <w:color w:val="333333"/>
          <w:sz w:val="24"/>
          <w:szCs w:val="24"/>
          <w:lang w:eastAsia="en-GB"/>
        </w:rPr>
        <w:t>further 6 dwellings</w:t>
      </w:r>
      <w:r>
        <w:rPr>
          <w:rFonts w:ascii="Arial" w:eastAsia="Times New Roman" w:hAnsi="Arial" w:cs="Arial"/>
          <w:color w:val="333333"/>
          <w:sz w:val="24"/>
          <w:szCs w:val="24"/>
          <w:lang w:eastAsia="en-GB"/>
        </w:rPr>
        <w:t xml:space="preserve">, </w:t>
      </w:r>
      <w:r w:rsidR="00852F77">
        <w:rPr>
          <w:rFonts w:ascii="Arial" w:eastAsia="Times New Roman" w:hAnsi="Arial" w:cs="Arial"/>
          <w:color w:val="333333"/>
          <w:sz w:val="24"/>
          <w:szCs w:val="24"/>
          <w:lang w:eastAsia="en-GB"/>
        </w:rPr>
        <w:t xml:space="preserve">falls within the settlement boundary </w:t>
      </w:r>
      <w:r w:rsidR="00F960A6">
        <w:rPr>
          <w:rFonts w:ascii="Arial" w:eastAsia="Times New Roman" w:hAnsi="Arial" w:cs="Arial"/>
          <w:color w:val="333333"/>
          <w:sz w:val="24"/>
          <w:szCs w:val="24"/>
          <w:lang w:eastAsia="en-GB"/>
        </w:rPr>
        <w:t>although there is uncertainty that it wil</w:t>
      </w:r>
      <w:r>
        <w:rPr>
          <w:rFonts w:ascii="Arial" w:eastAsia="Times New Roman" w:hAnsi="Arial" w:cs="Arial"/>
          <w:color w:val="333333"/>
          <w:sz w:val="24"/>
          <w:szCs w:val="24"/>
          <w:lang w:eastAsia="en-GB"/>
        </w:rPr>
        <w:t>l</w:t>
      </w:r>
      <w:r w:rsidR="00F960A6">
        <w:rPr>
          <w:rFonts w:ascii="Arial" w:eastAsia="Times New Roman" w:hAnsi="Arial" w:cs="Arial"/>
          <w:color w:val="333333"/>
          <w:sz w:val="24"/>
          <w:szCs w:val="24"/>
          <w:lang w:eastAsia="en-GB"/>
        </w:rPr>
        <w:t xml:space="preserve"> be released during the plan period.</w:t>
      </w:r>
    </w:p>
    <w:p w:rsidR="00F960A6" w:rsidRPr="004E3F0A" w:rsidRDefault="00F960A6"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The potential opportunities within Stoke Prior settlement boundary amount to </w:t>
      </w:r>
      <w:r w:rsidRPr="00852F77">
        <w:rPr>
          <w:rFonts w:ascii="Arial" w:eastAsia="Times New Roman" w:hAnsi="Arial" w:cs="Arial"/>
          <w:b/>
          <w:color w:val="333333"/>
          <w:sz w:val="24"/>
          <w:szCs w:val="24"/>
          <w:lang w:eastAsia="en-GB"/>
        </w:rPr>
        <w:t>26- 3</w:t>
      </w:r>
      <w:r w:rsidR="008C540F">
        <w:rPr>
          <w:rFonts w:ascii="Arial" w:eastAsia="Times New Roman" w:hAnsi="Arial" w:cs="Arial"/>
          <w:b/>
          <w:color w:val="333333"/>
          <w:sz w:val="24"/>
          <w:szCs w:val="24"/>
          <w:lang w:eastAsia="en-GB"/>
        </w:rPr>
        <w:t>2</w:t>
      </w:r>
      <w:r w:rsidRPr="00852F77">
        <w:rPr>
          <w:rFonts w:ascii="Arial" w:eastAsia="Times New Roman" w:hAnsi="Arial" w:cs="Arial"/>
          <w:b/>
          <w:color w:val="333333"/>
          <w:sz w:val="24"/>
          <w:szCs w:val="24"/>
          <w:lang w:eastAsia="en-GB"/>
        </w:rPr>
        <w:t xml:space="preserve"> dwellings</w:t>
      </w:r>
      <w:r w:rsidR="0023496B">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w:t>
      </w:r>
    </w:p>
    <w:p w:rsidR="0023496B" w:rsidRDefault="003F194E"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23496B">
        <w:rPr>
          <w:rFonts w:ascii="Arial" w:eastAsia="Times New Roman" w:hAnsi="Arial" w:cs="Arial"/>
          <w:color w:val="333333"/>
          <w:sz w:val="24"/>
          <w:szCs w:val="24"/>
          <w:u w:val="single"/>
          <w:lang w:eastAsia="en-GB"/>
        </w:rPr>
        <w:t>Risbury</w:t>
      </w:r>
      <w:r w:rsidR="00962980" w:rsidRPr="0023496B">
        <w:rPr>
          <w:rFonts w:ascii="Arial" w:eastAsia="Times New Roman" w:hAnsi="Arial" w:cs="Arial"/>
          <w:color w:val="333333"/>
          <w:sz w:val="24"/>
          <w:szCs w:val="24"/>
          <w:lang w:eastAsia="en-GB"/>
        </w:rPr>
        <w:t>:</w:t>
      </w:r>
      <w:r w:rsidR="00EF2612">
        <w:rPr>
          <w:rFonts w:ascii="Arial" w:eastAsia="Times New Roman" w:hAnsi="Arial" w:cs="Arial"/>
          <w:color w:val="333333"/>
          <w:sz w:val="24"/>
          <w:szCs w:val="24"/>
          <w:lang w:eastAsia="en-GB"/>
        </w:rPr>
        <w:t xml:space="preserve"> </w:t>
      </w:r>
      <w:r w:rsidR="0023496B">
        <w:rPr>
          <w:rFonts w:ascii="Arial" w:eastAsia="Times New Roman" w:hAnsi="Arial" w:cs="Arial"/>
          <w:color w:val="333333"/>
          <w:sz w:val="24"/>
          <w:szCs w:val="24"/>
          <w:lang w:eastAsia="en-GB"/>
        </w:rPr>
        <w:t xml:space="preserve">Risbury settlement boundary contains few if any small or individual plots. However two reasonably large frontages have been defined within which development would be permitted. The landowners have indicated a willingness to release these areas for development. Depending upon the form of development the two sites might accommodate between </w:t>
      </w:r>
      <w:r w:rsidR="0023496B" w:rsidRPr="00852F77">
        <w:rPr>
          <w:rFonts w:ascii="Arial" w:eastAsia="Times New Roman" w:hAnsi="Arial" w:cs="Arial"/>
          <w:b/>
          <w:color w:val="333333"/>
          <w:sz w:val="24"/>
          <w:szCs w:val="24"/>
          <w:lang w:eastAsia="en-GB"/>
        </w:rPr>
        <w:t>10 and 14 dwellings</w:t>
      </w:r>
      <w:r w:rsidR="0023496B">
        <w:rPr>
          <w:rFonts w:ascii="Arial" w:eastAsia="Times New Roman" w:hAnsi="Arial" w:cs="Arial"/>
          <w:color w:val="333333"/>
          <w:sz w:val="24"/>
          <w:szCs w:val="24"/>
          <w:lang w:eastAsia="en-GB"/>
        </w:rPr>
        <w:t xml:space="preserve">. </w:t>
      </w:r>
    </w:p>
    <w:p w:rsidR="00962980" w:rsidRDefault="003F194E"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sidRPr="0023496B">
        <w:rPr>
          <w:rFonts w:ascii="Arial" w:eastAsia="Times New Roman" w:hAnsi="Arial" w:cs="Arial"/>
          <w:color w:val="333333"/>
          <w:sz w:val="24"/>
          <w:szCs w:val="24"/>
          <w:u w:val="single"/>
          <w:lang w:eastAsia="en-GB"/>
        </w:rPr>
        <w:t>Steensbridge</w:t>
      </w:r>
      <w:r w:rsidR="00962980">
        <w:rPr>
          <w:rFonts w:ascii="Arial" w:eastAsia="Times New Roman" w:hAnsi="Arial" w:cs="Arial"/>
          <w:color w:val="333333"/>
          <w:sz w:val="24"/>
          <w:szCs w:val="24"/>
          <w:lang w:eastAsia="en-GB"/>
        </w:rPr>
        <w:t>:</w:t>
      </w:r>
      <w:r w:rsidR="00EF2612">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Steensbridge is the smallest of the Group parish’s settlements listed within Herefordshire Core Strategy. Although most of the groups of houses that comprise this settlement fall within the group Parish, a number sit within the adjacent </w:t>
      </w:r>
      <w:r w:rsidR="005D4516">
        <w:rPr>
          <w:rFonts w:ascii="Arial" w:eastAsia="Times New Roman" w:hAnsi="Arial" w:cs="Arial"/>
          <w:color w:val="333333"/>
          <w:sz w:val="24"/>
          <w:szCs w:val="24"/>
          <w:lang w:eastAsia="en-GB"/>
        </w:rPr>
        <w:t xml:space="preserve">Hatfield and District Group </w:t>
      </w:r>
      <w:r>
        <w:rPr>
          <w:rFonts w:ascii="Arial" w:eastAsia="Times New Roman" w:hAnsi="Arial" w:cs="Arial"/>
          <w:color w:val="333333"/>
          <w:sz w:val="24"/>
          <w:szCs w:val="24"/>
          <w:lang w:eastAsia="en-GB"/>
        </w:rPr>
        <w:t xml:space="preserve">Parish. </w:t>
      </w:r>
      <w:r w:rsidR="00FE2F0A">
        <w:rPr>
          <w:rFonts w:ascii="Arial" w:eastAsia="Times New Roman" w:hAnsi="Arial" w:cs="Arial"/>
          <w:color w:val="333333"/>
          <w:sz w:val="24"/>
          <w:szCs w:val="24"/>
          <w:lang w:eastAsia="en-GB"/>
        </w:rPr>
        <w:t xml:space="preserve">Herefordshire Council suggests it comprises </w:t>
      </w:r>
      <w:r>
        <w:rPr>
          <w:rFonts w:ascii="Arial" w:eastAsia="Times New Roman" w:hAnsi="Arial" w:cs="Arial"/>
          <w:color w:val="333333"/>
          <w:sz w:val="24"/>
          <w:szCs w:val="24"/>
          <w:lang w:eastAsia="en-GB"/>
        </w:rPr>
        <w:t>32</w:t>
      </w:r>
      <w:r w:rsidR="00EF2612">
        <w:rPr>
          <w:rFonts w:ascii="Arial" w:eastAsia="Times New Roman" w:hAnsi="Arial" w:cs="Arial"/>
          <w:color w:val="333333"/>
          <w:sz w:val="24"/>
          <w:szCs w:val="24"/>
          <w:lang w:eastAsia="en-GB"/>
        </w:rPr>
        <w:t xml:space="preserve"> dwellings</w:t>
      </w:r>
      <w:r w:rsidR="00FE2F0A">
        <w:rPr>
          <w:rFonts w:ascii="Arial" w:eastAsia="Times New Roman" w:hAnsi="Arial" w:cs="Arial"/>
          <w:color w:val="333333"/>
          <w:sz w:val="24"/>
          <w:szCs w:val="24"/>
          <w:lang w:eastAsia="en-GB"/>
        </w:rPr>
        <w:t>.</w:t>
      </w:r>
    </w:p>
    <w:p w:rsidR="0095265B" w:rsidRDefault="00FE2F0A"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Under the Submission </w:t>
      </w:r>
      <w:r w:rsidR="003F194E">
        <w:rPr>
          <w:rFonts w:ascii="Arial" w:eastAsia="Times New Roman" w:hAnsi="Arial" w:cs="Arial"/>
          <w:color w:val="333333"/>
          <w:sz w:val="24"/>
          <w:szCs w:val="24"/>
          <w:lang w:eastAsia="en-GB"/>
        </w:rPr>
        <w:t>D</w:t>
      </w:r>
      <w:r>
        <w:rPr>
          <w:rFonts w:ascii="Arial" w:eastAsia="Times New Roman" w:hAnsi="Arial" w:cs="Arial"/>
          <w:color w:val="333333"/>
          <w:sz w:val="24"/>
          <w:szCs w:val="24"/>
          <w:lang w:eastAsia="en-GB"/>
        </w:rPr>
        <w:t>raft Herefordshire Core Strategy,</w:t>
      </w:r>
      <w:r w:rsidR="003F194E">
        <w:rPr>
          <w:rFonts w:ascii="Arial" w:eastAsia="Times New Roman" w:hAnsi="Arial" w:cs="Arial"/>
          <w:color w:val="333333"/>
          <w:sz w:val="24"/>
          <w:szCs w:val="24"/>
          <w:lang w:eastAsia="en-GB"/>
        </w:rPr>
        <w:t xml:space="preserve"> p</w:t>
      </w:r>
      <w:r>
        <w:rPr>
          <w:rFonts w:ascii="Arial" w:eastAsia="Times New Roman" w:hAnsi="Arial" w:cs="Arial"/>
          <w:color w:val="333333"/>
          <w:sz w:val="24"/>
          <w:szCs w:val="24"/>
          <w:lang w:eastAsia="en-GB"/>
        </w:rPr>
        <w:t>roportional growth would h</w:t>
      </w:r>
      <w:r w:rsidR="003F194E">
        <w:rPr>
          <w:rFonts w:ascii="Arial" w:eastAsia="Times New Roman" w:hAnsi="Arial" w:cs="Arial"/>
          <w:color w:val="333333"/>
          <w:sz w:val="24"/>
          <w:szCs w:val="24"/>
          <w:lang w:eastAsia="en-GB"/>
        </w:rPr>
        <w:t>ave required</w:t>
      </w:r>
      <w:r w:rsidR="0095265B">
        <w:rPr>
          <w:rFonts w:ascii="Arial" w:eastAsia="Times New Roman" w:hAnsi="Arial" w:cs="Arial"/>
          <w:color w:val="333333"/>
          <w:sz w:val="24"/>
          <w:szCs w:val="24"/>
          <w:lang w:eastAsia="en-GB"/>
        </w:rPr>
        <w:t xml:space="preserve"> </w:t>
      </w:r>
      <w:r w:rsidR="003F194E">
        <w:rPr>
          <w:rFonts w:ascii="Arial" w:eastAsia="Times New Roman" w:hAnsi="Arial" w:cs="Arial"/>
          <w:color w:val="333333"/>
          <w:sz w:val="24"/>
          <w:szCs w:val="24"/>
          <w:lang w:eastAsia="en-GB"/>
        </w:rPr>
        <w:t>5</w:t>
      </w:r>
      <w:r w:rsidR="0095265B">
        <w:rPr>
          <w:rFonts w:ascii="Arial" w:eastAsia="Times New Roman" w:hAnsi="Arial" w:cs="Arial"/>
          <w:color w:val="333333"/>
          <w:sz w:val="24"/>
          <w:szCs w:val="24"/>
          <w:lang w:eastAsia="en-GB"/>
        </w:rPr>
        <w:t xml:space="preserve"> dwellings</w:t>
      </w:r>
      <w:r w:rsidR="003F194E">
        <w:rPr>
          <w:rFonts w:ascii="Arial" w:eastAsia="Times New Roman" w:hAnsi="Arial" w:cs="Arial"/>
          <w:color w:val="333333"/>
          <w:sz w:val="24"/>
          <w:szCs w:val="24"/>
          <w:lang w:eastAsia="en-GB"/>
        </w:rPr>
        <w:t xml:space="preserve"> to be provided where this would have met local needs</w:t>
      </w:r>
      <w:r w:rsidR="0095265B">
        <w:rPr>
          <w:rFonts w:ascii="Arial" w:eastAsia="Times New Roman" w:hAnsi="Arial" w:cs="Arial"/>
          <w:color w:val="333333"/>
          <w:sz w:val="24"/>
          <w:szCs w:val="24"/>
          <w:lang w:eastAsia="en-GB"/>
        </w:rPr>
        <w:t xml:space="preserve">. </w:t>
      </w:r>
    </w:p>
    <w:p w:rsidR="00FE2F0A" w:rsidRDefault="003F194E"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core of houses comprising the settlement falls within this Group parish and a</w:t>
      </w:r>
      <w:r w:rsidR="0095265B">
        <w:rPr>
          <w:rFonts w:ascii="Arial" w:eastAsia="Times New Roman" w:hAnsi="Arial" w:cs="Arial"/>
          <w:color w:val="333333"/>
          <w:sz w:val="24"/>
          <w:szCs w:val="24"/>
          <w:lang w:eastAsia="en-GB"/>
        </w:rPr>
        <w:t xml:space="preserve"> settlement boundary </w:t>
      </w:r>
      <w:r>
        <w:rPr>
          <w:rFonts w:ascii="Arial" w:eastAsia="Times New Roman" w:hAnsi="Arial" w:cs="Arial"/>
          <w:color w:val="333333"/>
          <w:sz w:val="24"/>
          <w:szCs w:val="24"/>
          <w:lang w:eastAsia="en-GB"/>
        </w:rPr>
        <w:t>has been defined, in particular taking into account</w:t>
      </w:r>
      <w:r w:rsidR="005D7B47">
        <w:rPr>
          <w:rFonts w:ascii="Arial" w:eastAsia="Times New Roman" w:hAnsi="Arial" w:cs="Arial"/>
          <w:color w:val="333333"/>
          <w:sz w:val="24"/>
          <w:szCs w:val="24"/>
          <w:lang w:eastAsia="en-GB"/>
        </w:rPr>
        <w:t xml:space="preserve"> of the flood risk area defined on the Environment Agency’s Flood Map. </w:t>
      </w:r>
    </w:p>
    <w:p w:rsidR="00AF11C4" w:rsidRDefault="00730971"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Two small potential development sites fall within this boundary, sitting either side of Little Priddleton. The site to the </w:t>
      </w:r>
      <w:r w:rsidR="00AF11C4">
        <w:rPr>
          <w:rFonts w:ascii="Arial" w:eastAsia="Times New Roman" w:hAnsi="Arial" w:cs="Arial"/>
          <w:color w:val="333333"/>
          <w:sz w:val="24"/>
          <w:szCs w:val="24"/>
          <w:lang w:eastAsia="en-GB"/>
        </w:rPr>
        <w:t xml:space="preserve">east might accommodate </w:t>
      </w:r>
      <w:r w:rsidR="00AF11C4" w:rsidRPr="00852F77">
        <w:rPr>
          <w:rFonts w:ascii="Arial" w:eastAsia="Times New Roman" w:hAnsi="Arial" w:cs="Arial"/>
          <w:b/>
          <w:color w:val="333333"/>
          <w:sz w:val="24"/>
          <w:szCs w:val="24"/>
          <w:lang w:eastAsia="en-GB"/>
        </w:rPr>
        <w:t>4 to 8 dwellings</w:t>
      </w:r>
      <w:r w:rsidR="00AF11C4">
        <w:rPr>
          <w:rFonts w:ascii="Arial" w:eastAsia="Times New Roman" w:hAnsi="Arial" w:cs="Arial"/>
          <w:color w:val="333333"/>
          <w:sz w:val="24"/>
          <w:szCs w:val="24"/>
          <w:lang w:eastAsia="en-GB"/>
        </w:rPr>
        <w:t xml:space="preserve"> depending upon local site constraints and a developer’s view of demand. The landowner has indicated a willingness to release the site for development.   The site to the west is approximately half the size of the first</w:t>
      </w:r>
      <w:r w:rsidR="00852F77">
        <w:rPr>
          <w:rFonts w:ascii="Arial" w:eastAsia="Times New Roman" w:hAnsi="Arial" w:cs="Arial"/>
          <w:color w:val="333333"/>
          <w:sz w:val="24"/>
          <w:szCs w:val="24"/>
          <w:lang w:eastAsia="en-GB"/>
        </w:rPr>
        <w:t xml:space="preserve"> (estimated up to </w:t>
      </w:r>
      <w:r w:rsidR="00852F77" w:rsidRPr="00852F77">
        <w:rPr>
          <w:rFonts w:ascii="Arial" w:eastAsia="Times New Roman" w:hAnsi="Arial" w:cs="Arial"/>
          <w:b/>
          <w:color w:val="333333"/>
          <w:sz w:val="24"/>
          <w:szCs w:val="24"/>
          <w:lang w:eastAsia="en-GB"/>
        </w:rPr>
        <w:t>4 dwellings</w:t>
      </w:r>
      <w:r w:rsidR="00852F77">
        <w:rPr>
          <w:rFonts w:ascii="Arial" w:eastAsia="Times New Roman" w:hAnsi="Arial" w:cs="Arial"/>
          <w:color w:val="333333"/>
          <w:sz w:val="24"/>
          <w:szCs w:val="24"/>
          <w:lang w:eastAsia="en-GB"/>
        </w:rPr>
        <w:t>)</w:t>
      </w:r>
      <w:r w:rsidR="00AF11C4">
        <w:rPr>
          <w:rFonts w:ascii="Arial" w:eastAsia="Times New Roman" w:hAnsi="Arial" w:cs="Arial"/>
          <w:color w:val="333333"/>
          <w:sz w:val="24"/>
          <w:szCs w:val="24"/>
          <w:lang w:eastAsia="en-GB"/>
        </w:rPr>
        <w:t xml:space="preserve">. It is understood that there may be drainage difficulties in this location and the landowner has not been contacted at this point in time to determine interest in releasing it for development. </w:t>
      </w:r>
    </w:p>
    <w:p w:rsidR="00962980" w:rsidRDefault="00AF11C4"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The opportunities within Steensbridge settlement boundary are therefore assessed as </w:t>
      </w:r>
      <w:r w:rsidRPr="00852F77">
        <w:rPr>
          <w:rFonts w:ascii="Arial" w:eastAsia="Times New Roman" w:hAnsi="Arial" w:cs="Arial"/>
          <w:b/>
          <w:color w:val="333333"/>
          <w:sz w:val="24"/>
          <w:szCs w:val="24"/>
          <w:lang w:eastAsia="en-GB"/>
        </w:rPr>
        <w:t>4 - 12 dwellings</w:t>
      </w:r>
      <w:r>
        <w:rPr>
          <w:rFonts w:ascii="Arial" w:eastAsia="Times New Roman" w:hAnsi="Arial" w:cs="Arial"/>
          <w:color w:val="333333"/>
          <w:sz w:val="24"/>
          <w:szCs w:val="24"/>
          <w:lang w:eastAsia="en-GB"/>
        </w:rPr>
        <w:t xml:space="preserve">.  </w:t>
      </w:r>
      <w:r w:rsidR="00730971">
        <w:rPr>
          <w:rFonts w:ascii="Arial" w:eastAsia="Times New Roman" w:hAnsi="Arial" w:cs="Arial"/>
          <w:color w:val="333333"/>
          <w:sz w:val="24"/>
          <w:szCs w:val="24"/>
          <w:lang w:eastAsia="en-GB"/>
        </w:rPr>
        <w:t xml:space="preserve"> </w:t>
      </w:r>
      <w:r w:rsidR="00F74DC4">
        <w:rPr>
          <w:rFonts w:ascii="Arial" w:eastAsia="Times New Roman" w:hAnsi="Arial" w:cs="Arial"/>
          <w:color w:val="333333"/>
          <w:sz w:val="24"/>
          <w:szCs w:val="24"/>
          <w:lang w:eastAsia="en-GB"/>
        </w:rPr>
        <w:t xml:space="preserve">    </w:t>
      </w:r>
    </w:p>
    <w:p w:rsidR="00AE7DCF" w:rsidRPr="00AE7DCF" w:rsidRDefault="00AE7DCF" w:rsidP="002335A1">
      <w:pPr>
        <w:pStyle w:val="ListParagraph"/>
        <w:numPr>
          <w:ilvl w:val="0"/>
          <w:numId w:val="1"/>
        </w:numPr>
        <w:spacing w:after="120" w:line="240" w:lineRule="auto"/>
        <w:ind w:left="709" w:hanging="709"/>
        <w:contextualSpacing w:val="0"/>
        <w:outlineLvl w:val="1"/>
        <w:rPr>
          <w:rFonts w:ascii="Arial" w:eastAsia="Times New Roman" w:hAnsi="Arial" w:cs="Arial"/>
          <w:b/>
          <w:color w:val="333333"/>
          <w:sz w:val="24"/>
          <w:szCs w:val="24"/>
          <w:lang w:eastAsia="en-GB"/>
        </w:rPr>
      </w:pPr>
      <w:r w:rsidRPr="00AE7DCF">
        <w:rPr>
          <w:rFonts w:ascii="Arial" w:eastAsia="Times New Roman" w:hAnsi="Arial" w:cs="Arial"/>
          <w:b/>
          <w:color w:val="333333"/>
          <w:sz w:val="24"/>
          <w:szCs w:val="24"/>
          <w:lang w:eastAsia="en-GB"/>
        </w:rPr>
        <w:t>Conclusions</w:t>
      </w:r>
    </w:p>
    <w:p w:rsidR="00E104AF" w:rsidRDefault="00E104AF"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Table </w:t>
      </w:r>
      <w:r w:rsidR="00E37779">
        <w:rPr>
          <w:rFonts w:ascii="Arial" w:eastAsia="Times New Roman" w:hAnsi="Arial" w:cs="Arial"/>
          <w:color w:val="333333"/>
          <w:sz w:val="24"/>
          <w:szCs w:val="24"/>
          <w:lang w:eastAsia="en-GB"/>
        </w:rPr>
        <w:t>2</w:t>
      </w:r>
      <w:r>
        <w:rPr>
          <w:rFonts w:ascii="Arial" w:eastAsia="Times New Roman" w:hAnsi="Arial" w:cs="Arial"/>
          <w:color w:val="333333"/>
          <w:sz w:val="24"/>
          <w:szCs w:val="24"/>
          <w:lang w:eastAsia="en-GB"/>
        </w:rPr>
        <w:t xml:space="preserve"> draws together the analysis for the three settlements</w:t>
      </w:r>
      <w:r w:rsidR="00B30B7A">
        <w:rPr>
          <w:rFonts w:ascii="Arial" w:eastAsia="Times New Roman" w:hAnsi="Arial" w:cs="Arial"/>
          <w:color w:val="333333"/>
          <w:sz w:val="24"/>
          <w:szCs w:val="24"/>
          <w:lang w:eastAsia="en-GB"/>
        </w:rPr>
        <w:t xml:space="preserve"> together with the rural windfall allowance</w:t>
      </w:r>
      <w:r>
        <w:rPr>
          <w:rFonts w:ascii="Arial" w:eastAsia="Times New Roman" w:hAnsi="Arial" w:cs="Arial"/>
          <w:color w:val="333333"/>
          <w:sz w:val="24"/>
          <w:szCs w:val="24"/>
          <w:lang w:eastAsia="en-GB"/>
        </w:rPr>
        <w:t>.</w:t>
      </w:r>
    </w:p>
    <w:p w:rsidR="00E104AF" w:rsidRPr="004A4A31" w:rsidRDefault="00E104AF" w:rsidP="002335A1">
      <w:pPr>
        <w:spacing w:after="120" w:line="240" w:lineRule="auto"/>
        <w:ind w:left="709"/>
        <w:outlineLvl w:val="1"/>
        <w:rPr>
          <w:rFonts w:ascii="Arial" w:eastAsia="Times New Roman" w:hAnsi="Arial" w:cs="Arial"/>
          <w:b/>
          <w:color w:val="333333"/>
          <w:sz w:val="24"/>
          <w:szCs w:val="24"/>
          <w:lang w:eastAsia="en-GB"/>
        </w:rPr>
      </w:pPr>
      <w:r w:rsidRPr="004A4A31">
        <w:rPr>
          <w:rFonts w:ascii="Arial" w:eastAsia="Times New Roman" w:hAnsi="Arial" w:cs="Arial"/>
          <w:b/>
          <w:color w:val="333333"/>
          <w:sz w:val="24"/>
          <w:szCs w:val="24"/>
          <w:lang w:eastAsia="en-GB"/>
        </w:rPr>
        <w:t xml:space="preserve">Table </w:t>
      </w:r>
      <w:r w:rsidR="00E37779">
        <w:rPr>
          <w:rFonts w:ascii="Arial" w:eastAsia="Times New Roman" w:hAnsi="Arial" w:cs="Arial"/>
          <w:b/>
          <w:color w:val="333333"/>
          <w:sz w:val="24"/>
          <w:szCs w:val="24"/>
          <w:lang w:eastAsia="en-GB"/>
        </w:rPr>
        <w:t>2</w:t>
      </w:r>
      <w:r w:rsidRPr="004A4A31">
        <w:rPr>
          <w:rFonts w:ascii="Arial" w:eastAsia="Times New Roman" w:hAnsi="Arial" w:cs="Arial"/>
          <w:b/>
          <w:color w:val="333333"/>
          <w:sz w:val="24"/>
          <w:szCs w:val="24"/>
          <w:lang w:eastAsia="en-GB"/>
        </w:rPr>
        <w:t xml:space="preserve">: </w:t>
      </w:r>
      <w:r w:rsidR="00037EE1">
        <w:rPr>
          <w:rFonts w:ascii="Arial" w:eastAsia="Times New Roman" w:hAnsi="Arial" w:cs="Arial"/>
          <w:b/>
          <w:color w:val="333333"/>
          <w:sz w:val="24"/>
          <w:szCs w:val="24"/>
          <w:lang w:eastAsia="en-GB"/>
        </w:rPr>
        <w:t xml:space="preserve">Potential </w:t>
      </w:r>
      <w:r w:rsidRPr="004A4A31">
        <w:rPr>
          <w:rFonts w:ascii="Arial" w:eastAsia="Times New Roman" w:hAnsi="Arial" w:cs="Arial"/>
          <w:b/>
          <w:color w:val="333333"/>
          <w:sz w:val="24"/>
          <w:szCs w:val="24"/>
          <w:lang w:eastAsia="en-GB"/>
        </w:rPr>
        <w:t xml:space="preserve">Housing Opportunities </w:t>
      </w:r>
    </w:p>
    <w:tbl>
      <w:tblPr>
        <w:tblStyle w:val="TableGrid"/>
        <w:tblW w:w="0" w:type="auto"/>
        <w:tblInd w:w="765" w:type="dxa"/>
        <w:tblLook w:val="04A0" w:firstRow="1" w:lastRow="0" w:firstColumn="1" w:lastColumn="0" w:noHBand="0" w:noVBand="1"/>
      </w:tblPr>
      <w:tblGrid>
        <w:gridCol w:w="619"/>
        <w:gridCol w:w="3402"/>
        <w:gridCol w:w="2268"/>
      </w:tblGrid>
      <w:tr w:rsidR="00AF11C4" w:rsidTr="000D1C2F">
        <w:tc>
          <w:tcPr>
            <w:tcW w:w="4021" w:type="dxa"/>
            <w:gridSpan w:val="2"/>
          </w:tcPr>
          <w:p w:rsidR="00AF11C4" w:rsidRDefault="00AF11C4" w:rsidP="002335A1">
            <w:pPr>
              <w:spacing w:after="120"/>
              <w:ind w:left="709" w:hanging="709"/>
              <w:outlineLvl w:val="1"/>
              <w:rPr>
                <w:rFonts w:ascii="Arial" w:eastAsia="Times New Roman" w:hAnsi="Arial" w:cs="Arial"/>
                <w:color w:val="333333"/>
                <w:sz w:val="24"/>
                <w:szCs w:val="24"/>
                <w:lang w:eastAsia="en-GB"/>
              </w:rPr>
            </w:pPr>
          </w:p>
        </w:tc>
        <w:tc>
          <w:tcPr>
            <w:tcW w:w="2268" w:type="dxa"/>
          </w:tcPr>
          <w:p w:rsidR="00AF11C4" w:rsidRDefault="00AF11C4"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Number of Dwellings-</w:t>
            </w:r>
          </w:p>
        </w:tc>
      </w:tr>
      <w:tr w:rsidR="00B30B7A" w:rsidTr="000D1C2F">
        <w:tc>
          <w:tcPr>
            <w:tcW w:w="619" w:type="dxa"/>
          </w:tcPr>
          <w:p w:rsidR="00B30B7A" w:rsidRDefault="00B30B7A"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1</w:t>
            </w:r>
          </w:p>
        </w:tc>
        <w:tc>
          <w:tcPr>
            <w:tcW w:w="3402" w:type="dxa"/>
          </w:tcPr>
          <w:p w:rsidR="00B30B7A" w:rsidRPr="004A4A31" w:rsidRDefault="00B30B7A" w:rsidP="002335A1">
            <w:pPr>
              <w:spacing w:after="120"/>
              <w:ind w:left="709" w:hanging="709"/>
              <w:outlineLvl w:val="1"/>
              <w:rPr>
                <w:rFonts w:ascii="Arial" w:eastAsia="Times New Roman" w:hAnsi="Arial" w:cs="Arial"/>
                <w:color w:val="333333"/>
                <w:sz w:val="24"/>
                <w:szCs w:val="24"/>
                <w:lang w:eastAsia="en-GB"/>
              </w:rPr>
            </w:pPr>
            <w:r w:rsidRPr="004A4A31">
              <w:rPr>
                <w:rFonts w:ascii="Arial" w:eastAsia="Times New Roman" w:hAnsi="Arial" w:cs="Arial"/>
                <w:color w:val="333333"/>
                <w:sz w:val="24"/>
                <w:szCs w:val="24"/>
                <w:lang w:eastAsia="en-GB"/>
              </w:rPr>
              <w:t>Assessment of rural windfall allowance 201</w:t>
            </w:r>
            <w:r w:rsidR="00E37779">
              <w:rPr>
                <w:rFonts w:ascii="Arial" w:eastAsia="Times New Roman" w:hAnsi="Arial" w:cs="Arial"/>
                <w:color w:val="333333"/>
                <w:sz w:val="24"/>
                <w:szCs w:val="24"/>
                <w:lang w:eastAsia="en-GB"/>
              </w:rPr>
              <w:t>1</w:t>
            </w:r>
            <w:r w:rsidRPr="004A4A31">
              <w:rPr>
                <w:rFonts w:ascii="Arial" w:eastAsia="Times New Roman" w:hAnsi="Arial" w:cs="Arial"/>
                <w:color w:val="333333"/>
                <w:sz w:val="24"/>
                <w:szCs w:val="24"/>
                <w:lang w:eastAsia="en-GB"/>
              </w:rPr>
              <w:t>-2031</w:t>
            </w:r>
          </w:p>
        </w:tc>
        <w:tc>
          <w:tcPr>
            <w:tcW w:w="2268" w:type="dxa"/>
          </w:tcPr>
          <w:p w:rsidR="00B30B7A" w:rsidRPr="004A4A31" w:rsidRDefault="00B30B7A" w:rsidP="002335A1">
            <w:pPr>
              <w:spacing w:after="120"/>
              <w:ind w:left="709" w:hanging="709"/>
              <w:jc w:val="center"/>
              <w:outlineLvl w:val="1"/>
              <w:rPr>
                <w:rFonts w:ascii="Arial" w:eastAsia="Times New Roman" w:hAnsi="Arial" w:cs="Arial"/>
                <w:color w:val="333333"/>
                <w:sz w:val="24"/>
                <w:szCs w:val="24"/>
                <w:lang w:eastAsia="en-GB"/>
              </w:rPr>
            </w:pPr>
            <w:r w:rsidRPr="004A4A31">
              <w:rPr>
                <w:rFonts w:ascii="Arial" w:eastAsia="Times New Roman" w:hAnsi="Arial" w:cs="Arial"/>
                <w:color w:val="333333"/>
                <w:sz w:val="24"/>
                <w:szCs w:val="24"/>
                <w:lang w:eastAsia="en-GB"/>
              </w:rPr>
              <w:t>12-17</w:t>
            </w:r>
          </w:p>
        </w:tc>
      </w:tr>
      <w:tr w:rsidR="00B30B7A" w:rsidTr="000D1C2F">
        <w:tc>
          <w:tcPr>
            <w:tcW w:w="619" w:type="dxa"/>
          </w:tcPr>
          <w:p w:rsidR="00B30B7A" w:rsidRDefault="00B30B7A"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w:t>
            </w:r>
          </w:p>
        </w:tc>
        <w:tc>
          <w:tcPr>
            <w:tcW w:w="3402" w:type="dxa"/>
          </w:tcPr>
          <w:p w:rsidR="00B30B7A" w:rsidRDefault="00B30B7A"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Stoke Prior </w:t>
            </w:r>
          </w:p>
        </w:tc>
        <w:tc>
          <w:tcPr>
            <w:tcW w:w="2268" w:type="dxa"/>
          </w:tcPr>
          <w:p w:rsidR="00B30B7A" w:rsidRDefault="00B30B7A"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26-3</w:t>
            </w:r>
            <w:r w:rsidR="008C540F">
              <w:rPr>
                <w:rFonts w:ascii="Arial" w:eastAsia="Times New Roman" w:hAnsi="Arial" w:cs="Arial"/>
                <w:color w:val="333333"/>
                <w:sz w:val="24"/>
                <w:szCs w:val="24"/>
                <w:lang w:eastAsia="en-GB"/>
              </w:rPr>
              <w:t>2</w:t>
            </w:r>
          </w:p>
        </w:tc>
      </w:tr>
      <w:tr w:rsidR="00B30B7A" w:rsidTr="000D1C2F">
        <w:tc>
          <w:tcPr>
            <w:tcW w:w="619" w:type="dxa"/>
          </w:tcPr>
          <w:p w:rsidR="00B30B7A" w:rsidRDefault="00B30B7A"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3</w:t>
            </w:r>
          </w:p>
        </w:tc>
        <w:tc>
          <w:tcPr>
            <w:tcW w:w="3402" w:type="dxa"/>
          </w:tcPr>
          <w:p w:rsidR="00B30B7A" w:rsidRDefault="00B30B7A"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Risbury</w:t>
            </w:r>
          </w:p>
        </w:tc>
        <w:tc>
          <w:tcPr>
            <w:tcW w:w="2268" w:type="dxa"/>
          </w:tcPr>
          <w:p w:rsidR="00B30B7A" w:rsidRDefault="00B30B7A"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10-14</w:t>
            </w:r>
          </w:p>
        </w:tc>
      </w:tr>
      <w:tr w:rsidR="00B30B7A" w:rsidTr="000D1C2F">
        <w:tc>
          <w:tcPr>
            <w:tcW w:w="619" w:type="dxa"/>
          </w:tcPr>
          <w:p w:rsidR="00B30B7A" w:rsidRDefault="00B30B7A"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4</w:t>
            </w:r>
          </w:p>
        </w:tc>
        <w:tc>
          <w:tcPr>
            <w:tcW w:w="3402" w:type="dxa"/>
          </w:tcPr>
          <w:p w:rsidR="00B30B7A" w:rsidRDefault="00B30B7A"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Steensbridge</w:t>
            </w:r>
          </w:p>
        </w:tc>
        <w:tc>
          <w:tcPr>
            <w:tcW w:w="2268" w:type="dxa"/>
          </w:tcPr>
          <w:p w:rsidR="00B30B7A" w:rsidRDefault="00B30B7A"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4-12</w:t>
            </w:r>
          </w:p>
        </w:tc>
      </w:tr>
      <w:tr w:rsidR="00B30B7A" w:rsidTr="000D1C2F">
        <w:tc>
          <w:tcPr>
            <w:tcW w:w="619" w:type="dxa"/>
          </w:tcPr>
          <w:p w:rsidR="00B30B7A" w:rsidRDefault="00B30B7A" w:rsidP="002335A1">
            <w:pPr>
              <w:spacing w:after="120"/>
              <w:ind w:left="709" w:hanging="709"/>
              <w:jc w:val="center"/>
              <w:outlineLvl w:val="1"/>
              <w:rPr>
                <w:rFonts w:ascii="Arial" w:eastAsia="Times New Roman" w:hAnsi="Arial" w:cs="Arial"/>
                <w:color w:val="333333"/>
                <w:sz w:val="24"/>
                <w:szCs w:val="24"/>
                <w:lang w:eastAsia="en-GB"/>
              </w:rPr>
            </w:pPr>
          </w:p>
        </w:tc>
        <w:tc>
          <w:tcPr>
            <w:tcW w:w="3402" w:type="dxa"/>
          </w:tcPr>
          <w:p w:rsidR="00B30B7A" w:rsidRPr="004A4A31" w:rsidRDefault="00B30B7A" w:rsidP="002335A1">
            <w:pPr>
              <w:spacing w:after="120"/>
              <w:ind w:left="709" w:hanging="709"/>
              <w:outlineLvl w:val="1"/>
              <w:rPr>
                <w:rFonts w:ascii="Arial" w:eastAsia="Times New Roman" w:hAnsi="Arial" w:cs="Arial"/>
                <w:b/>
                <w:color w:val="333333"/>
                <w:sz w:val="24"/>
                <w:szCs w:val="24"/>
                <w:lang w:eastAsia="en-GB"/>
              </w:rPr>
            </w:pPr>
            <w:r w:rsidRPr="004A4A31">
              <w:rPr>
                <w:rFonts w:ascii="Arial" w:eastAsia="Times New Roman" w:hAnsi="Arial" w:cs="Arial"/>
                <w:b/>
                <w:color w:val="333333"/>
                <w:sz w:val="24"/>
                <w:szCs w:val="24"/>
                <w:lang w:eastAsia="en-GB"/>
              </w:rPr>
              <w:t>Total</w:t>
            </w:r>
          </w:p>
        </w:tc>
        <w:tc>
          <w:tcPr>
            <w:tcW w:w="2268" w:type="dxa"/>
          </w:tcPr>
          <w:p w:rsidR="00B30B7A" w:rsidRPr="004A4A31" w:rsidRDefault="00B30B7A" w:rsidP="002335A1">
            <w:pPr>
              <w:spacing w:after="120"/>
              <w:ind w:left="709" w:hanging="709"/>
              <w:jc w:val="center"/>
              <w:outlineLvl w:val="1"/>
              <w:rPr>
                <w:rFonts w:ascii="Arial" w:eastAsia="Times New Roman" w:hAnsi="Arial" w:cs="Arial"/>
                <w:b/>
                <w:color w:val="333333"/>
                <w:sz w:val="24"/>
                <w:szCs w:val="24"/>
                <w:lang w:eastAsia="en-GB"/>
              </w:rPr>
            </w:pPr>
            <w:r>
              <w:rPr>
                <w:rFonts w:ascii="Arial" w:eastAsia="Times New Roman" w:hAnsi="Arial" w:cs="Arial"/>
                <w:b/>
                <w:color w:val="333333"/>
                <w:sz w:val="24"/>
                <w:szCs w:val="24"/>
                <w:lang w:eastAsia="en-GB"/>
              </w:rPr>
              <w:t>52-</w:t>
            </w:r>
            <w:r w:rsidR="008C540F">
              <w:rPr>
                <w:rFonts w:ascii="Arial" w:eastAsia="Times New Roman" w:hAnsi="Arial" w:cs="Arial"/>
                <w:b/>
                <w:color w:val="333333"/>
                <w:sz w:val="24"/>
                <w:szCs w:val="24"/>
                <w:lang w:eastAsia="en-GB"/>
              </w:rPr>
              <w:t>75</w:t>
            </w:r>
          </w:p>
        </w:tc>
      </w:tr>
    </w:tbl>
    <w:p w:rsidR="00E104AF" w:rsidRPr="00E104AF" w:rsidRDefault="00E104AF" w:rsidP="002335A1">
      <w:pPr>
        <w:spacing w:after="120" w:line="240" w:lineRule="auto"/>
        <w:ind w:left="709" w:hanging="709"/>
        <w:outlineLvl w:val="1"/>
        <w:rPr>
          <w:rFonts w:ascii="Arial" w:eastAsia="Times New Roman" w:hAnsi="Arial" w:cs="Arial"/>
          <w:color w:val="333333"/>
          <w:sz w:val="24"/>
          <w:szCs w:val="24"/>
          <w:lang w:eastAsia="en-GB"/>
        </w:rPr>
      </w:pPr>
    </w:p>
    <w:p w:rsidR="004A4A31" w:rsidRDefault="00852F77"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lastRenderedPageBreak/>
        <w:t>It</w:t>
      </w:r>
      <w:r w:rsidR="00E104AF">
        <w:rPr>
          <w:rFonts w:ascii="Arial" w:eastAsia="Times New Roman" w:hAnsi="Arial" w:cs="Arial"/>
          <w:color w:val="333333"/>
          <w:sz w:val="24"/>
          <w:szCs w:val="24"/>
          <w:lang w:eastAsia="en-GB"/>
        </w:rPr>
        <w:t xml:space="preserve"> cannot be assumed that all potential sites will be developed within the plan period</w:t>
      </w:r>
      <w:r w:rsidR="00B35D9C">
        <w:rPr>
          <w:rFonts w:ascii="Arial" w:eastAsia="Times New Roman" w:hAnsi="Arial" w:cs="Arial"/>
          <w:color w:val="333333"/>
          <w:sz w:val="24"/>
          <w:szCs w:val="24"/>
          <w:lang w:eastAsia="en-GB"/>
        </w:rPr>
        <w:t xml:space="preserve"> </w:t>
      </w:r>
      <w:r w:rsidR="00B35D9C" w:rsidRPr="00852F77">
        <w:rPr>
          <w:rFonts w:ascii="Arial" w:eastAsia="Times New Roman" w:hAnsi="Arial" w:cs="Arial"/>
          <w:color w:val="333333"/>
          <w:sz w:val="24"/>
          <w:szCs w:val="24"/>
          <w:lang w:eastAsia="en-GB"/>
        </w:rPr>
        <w:t xml:space="preserve">but past windfall rates the economic driver is significant and </w:t>
      </w:r>
      <w:r>
        <w:rPr>
          <w:rFonts w:ascii="Arial" w:eastAsia="Times New Roman" w:hAnsi="Arial" w:cs="Arial"/>
          <w:color w:val="333333"/>
          <w:sz w:val="24"/>
          <w:szCs w:val="24"/>
          <w:lang w:eastAsia="en-GB"/>
        </w:rPr>
        <w:t>many</w:t>
      </w:r>
      <w:r w:rsidR="00B35D9C" w:rsidRPr="00852F77">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potential </w:t>
      </w:r>
      <w:r w:rsidR="00B35D9C" w:rsidRPr="00852F77">
        <w:rPr>
          <w:rFonts w:ascii="Arial" w:eastAsia="Times New Roman" w:hAnsi="Arial" w:cs="Arial"/>
          <w:color w:val="333333"/>
          <w:sz w:val="24"/>
          <w:szCs w:val="24"/>
          <w:lang w:eastAsia="en-GB"/>
        </w:rPr>
        <w:t>sites will be brought forward</w:t>
      </w:r>
      <w:r>
        <w:rPr>
          <w:rFonts w:ascii="Arial" w:eastAsia="Times New Roman" w:hAnsi="Arial" w:cs="Arial"/>
          <w:color w:val="333333"/>
          <w:sz w:val="24"/>
          <w:szCs w:val="24"/>
          <w:lang w:eastAsia="en-GB"/>
        </w:rPr>
        <w:t>, in particular those where landowners have indicated they are available.</w:t>
      </w:r>
      <w:r w:rsidR="00E104AF">
        <w:rPr>
          <w:rFonts w:ascii="Arial" w:eastAsia="Times New Roman" w:hAnsi="Arial" w:cs="Arial"/>
          <w:color w:val="333333"/>
          <w:sz w:val="24"/>
          <w:szCs w:val="24"/>
          <w:lang w:eastAsia="en-GB"/>
        </w:rPr>
        <w:t xml:space="preserve"> The purpose of the analysis is to indicate whether the target of </w:t>
      </w:r>
      <w:r>
        <w:rPr>
          <w:rFonts w:ascii="Arial" w:eastAsia="Times New Roman" w:hAnsi="Arial" w:cs="Arial"/>
          <w:color w:val="333333"/>
          <w:sz w:val="24"/>
          <w:szCs w:val="24"/>
          <w:lang w:eastAsia="en-GB"/>
        </w:rPr>
        <w:t>43</w:t>
      </w:r>
      <w:r w:rsidR="00E104AF">
        <w:rPr>
          <w:rFonts w:ascii="Arial" w:eastAsia="Times New Roman" w:hAnsi="Arial" w:cs="Arial"/>
          <w:color w:val="333333"/>
          <w:sz w:val="24"/>
          <w:szCs w:val="24"/>
          <w:lang w:eastAsia="en-GB"/>
        </w:rPr>
        <w:t xml:space="preserve"> dwellings for the </w:t>
      </w:r>
      <w:r>
        <w:rPr>
          <w:rFonts w:ascii="Arial" w:eastAsia="Times New Roman" w:hAnsi="Arial" w:cs="Arial"/>
          <w:color w:val="333333"/>
          <w:sz w:val="24"/>
          <w:szCs w:val="24"/>
          <w:lang w:eastAsia="en-GB"/>
        </w:rPr>
        <w:t>Group P</w:t>
      </w:r>
      <w:r w:rsidR="00E104AF">
        <w:rPr>
          <w:rFonts w:ascii="Arial" w:eastAsia="Times New Roman" w:hAnsi="Arial" w:cs="Arial"/>
          <w:color w:val="333333"/>
          <w:sz w:val="24"/>
          <w:szCs w:val="24"/>
          <w:lang w:eastAsia="en-GB"/>
        </w:rPr>
        <w:t xml:space="preserve">arish can be achieved. </w:t>
      </w:r>
    </w:p>
    <w:p w:rsidR="00C45129" w:rsidRDefault="004A4A31"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What i</w:t>
      </w:r>
      <w:r w:rsidR="00C45129">
        <w:rPr>
          <w:rFonts w:ascii="Arial" w:eastAsia="Times New Roman" w:hAnsi="Arial" w:cs="Arial"/>
          <w:color w:val="333333"/>
          <w:sz w:val="24"/>
          <w:szCs w:val="24"/>
          <w:lang w:eastAsia="en-GB"/>
        </w:rPr>
        <w:t>t</w:t>
      </w:r>
      <w:r>
        <w:rPr>
          <w:rFonts w:ascii="Arial" w:eastAsia="Times New Roman" w:hAnsi="Arial" w:cs="Arial"/>
          <w:color w:val="333333"/>
          <w:sz w:val="24"/>
          <w:szCs w:val="24"/>
          <w:lang w:eastAsia="en-GB"/>
        </w:rPr>
        <w:t xml:space="preserve"> does </w:t>
      </w:r>
      <w:r w:rsidR="00C45129">
        <w:rPr>
          <w:rFonts w:ascii="Arial" w:eastAsia="Times New Roman" w:hAnsi="Arial" w:cs="Arial"/>
          <w:color w:val="333333"/>
          <w:sz w:val="24"/>
          <w:szCs w:val="24"/>
          <w:lang w:eastAsia="en-GB"/>
        </w:rPr>
        <w:t>show</w:t>
      </w:r>
      <w:r>
        <w:rPr>
          <w:rFonts w:ascii="Arial" w:eastAsia="Times New Roman" w:hAnsi="Arial" w:cs="Arial"/>
          <w:color w:val="333333"/>
          <w:sz w:val="24"/>
          <w:szCs w:val="24"/>
          <w:lang w:eastAsia="en-GB"/>
        </w:rPr>
        <w:t xml:space="preserve"> is that given completions, outstanding commitments</w:t>
      </w:r>
      <w:r w:rsidR="00852F77">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a reasonable assessment of rural windfalls, </w:t>
      </w:r>
      <w:r w:rsidR="00852F77">
        <w:rPr>
          <w:rFonts w:ascii="Arial" w:eastAsia="Times New Roman" w:hAnsi="Arial" w:cs="Arial"/>
          <w:color w:val="333333"/>
          <w:sz w:val="24"/>
          <w:szCs w:val="24"/>
          <w:lang w:eastAsia="en-GB"/>
        </w:rPr>
        <w:t xml:space="preserve">and sites where landowners indicate sites are available the target can be achieved </w:t>
      </w:r>
      <w:r w:rsidR="00C45129">
        <w:rPr>
          <w:rFonts w:ascii="Arial" w:eastAsia="Times New Roman" w:hAnsi="Arial" w:cs="Arial"/>
          <w:color w:val="333333"/>
          <w:sz w:val="24"/>
          <w:szCs w:val="24"/>
          <w:lang w:eastAsia="en-GB"/>
        </w:rPr>
        <w:t>with</w:t>
      </w:r>
      <w:r w:rsidR="00852F77">
        <w:rPr>
          <w:rFonts w:ascii="Arial" w:eastAsia="Times New Roman" w:hAnsi="Arial" w:cs="Arial"/>
          <w:color w:val="333333"/>
          <w:sz w:val="24"/>
          <w:szCs w:val="24"/>
          <w:lang w:eastAsia="en-GB"/>
        </w:rPr>
        <w:t xml:space="preserve"> development in each of </w:t>
      </w:r>
      <w:r w:rsidR="00C45129">
        <w:rPr>
          <w:rFonts w:ascii="Arial" w:eastAsia="Times New Roman" w:hAnsi="Arial" w:cs="Arial"/>
          <w:color w:val="333333"/>
          <w:sz w:val="24"/>
          <w:szCs w:val="24"/>
          <w:lang w:eastAsia="en-GB"/>
        </w:rPr>
        <w:t>the three settlements.</w:t>
      </w:r>
      <w:r w:rsidR="00E37779">
        <w:rPr>
          <w:rFonts w:ascii="Arial" w:eastAsia="Times New Roman" w:hAnsi="Arial" w:cs="Arial"/>
          <w:color w:val="333333"/>
          <w:sz w:val="24"/>
          <w:szCs w:val="24"/>
          <w:lang w:eastAsia="en-GB"/>
        </w:rPr>
        <w:t xml:space="preserve"> A small level of overprovision should provide comfort to Herefordshire Council that the Group Parish intends to achieve the target without restricting provision, and to the inspector at any Inquiry that the plan has been positively prepared.</w:t>
      </w:r>
    </w:p>
    <w:p w:rsidR="00E37779" w:rsidRDefault="00175A34"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 factor that might usefully be taken into account when deciding upon the extent and approach to planning for housing within the </w:t>
      </w:r>
      <w:r w:rsidR="00E37779">
        <w:rPr>
          <w:rFonts w:ascii="Arial" w:eastAsia="Times New Roman" w:hAnsi="Arial" w:cs="Arial"/>
          <w:color w:val="333333"/>
          <w:sz w:val="24"/>
          <w:szCs w:val="24"/>
          <w:lang w:eastAsia="en-GB"/>
        </w:rPr>
        <w:t>Group P</w:t>
      </w:r>
      <w:r>
        <w:rPr>
          <w:rFonts w:ascii="Arial" w:eastAsia="Times New Roman" w:hAnsi="Arial" w:cs="Arial"/>
          <w:color w:val="333333"/>
          <w:sz w:val="24"/>
          <w:szCs w:val="24"/>
          <w:lang w:eastAsia="en-GB"/>
        </w:rPr>
        <w:t xml:space="preserve">arish is Herefordshire Council’s Local Housing Market Assessment. Table </w:t>
      </w:r>
      <w:r w:rsidR="00E37779">
        <w:rPr>
          <w:rFonts w:ascii="Arial" w:eastAsia="Times New Roman" w:hAnsi="Arial" w:cs="Arial"/>
          <w:color w:val="333333"/>
          <w:sz w:val="24"/>
          <w:szCs w:val="24"/>
          <w:lang w:eastAsia="en-GB"/>
        </w:rPr>
        <w:t>3</w:t>
      </w:r>
      <w:r>
        <w:rPr>
          <w:rFonts w:ascii="Arial" w:eastAsia="Times New Roman" w:hAnsi="Arial" w:cs="Arial"/>
          <w:color w:val="333333"/>
          <w:sz w:val="24"/>
          <w:szCs w:val="24"/>
          <w:lang w:eastAsia="en-GB"/>
        </w:rPr>
        <w:t xml:space="preserve"> below shows the proportion of dwellings required by size.</w:t>
      </w:r>
      <w:r w:rsidR="003511F7">
        <w:rPr>
          <w:rFonts w:ascii="Arial" w:eastAsia="Times New Roman" w:hAnsi="Arial" w:cs="Arial"/>
          <w:color w:val="333333"/>
          <w:sz w:val="24"/>
          <w:szCs w:val="24"/>
          <w:lang w:eastAsia="en-GB"/>
        </w:rPr>
        <w:t xml:space="preserve"> Interestingly it suggests that there is a significant overprovision of 4+ bedroomed dwellings and this might suggest an approach that would enable larger dwellings to be subdivided.  </w:t>
      </w:r>
      <w:r w:rsidR="00FF3FB2" w:rsidRPr="00FF3FB2">
        <w:rPr>
          <w:rFonts w:ascii="Arial" w:eastAsia="Times New Roman" w:hAnsi="Arial" w:cs="Arial"/>
          <w:color w:val="333333"/>
          <w:sz w:val="24"/>
          <w:szCs w:val="24"/>
          <w:lang w:eastAsia="en-GB"/>
        </w:rPr>
        <w:t xml:space="preserve"> </w:t>
      </w:r>
    </w:p>
    <w:p w:rsidR="00E37779" w:rsidRDefault="00E37779" w:rsidP="002335A1">
      <w:pPr>
        <w:spacing w:after="120" w:line="240" w:lineRule="auto"/>
        <w:ind w:left="709" w:hanging="709"/>
        <w:outlineLvl w:val="1"/>
        <w:rPr>
          <w:rFonts w:ascii="Arial" w:eastAsia="Times New Roman" w:hAnsi="Arial" w:cs="Arial"/>
          <w:b/>
          <w:color w:val="333333"/>
          <w:sz w:val="24"/>
          <w:szCs w:val="24"/>
          <w:lang w:eastAsia="en-GB"/>
        </w:rPr>
      </w:pPr>
    </w:p>
    <w:p w:rsidR="00175A34" w:rsidRPr="00175A34" w:rsidRDefault="00175A34" w:rsidP="002335A1">
      <w:pPr>
        <w:spacing w:after="120" w:line="240" w:lineRule="auto"/>
        <w:ind w:left="709"/>
        <w:outlineLvl w:val="1"/>
        <w:rPr>
          <w:rFonts w:ascii="Arial" w:eastAsia="Times New Roman" w:hAnsi="Arial" w:cs="Arial"/>
          <w:b/>
          <w:color w:val="333333"/>
          <w:sz w:val="24"/>
          <w:szCs w:val="24"/>
          <w:lang w:eastAsia="en-GB"/>
        </w:rPr>
      </w:pPr>
      <w:r w:rsidRPr="00175A34">
        <w:rPr>
          <w:rFonts w:ascii="Arial" w:eastAsia="Times New Roman" w:hAnsi="Arial" w:cs="Arial"/>
          <w:b/>
          <w:color w:val="333333"/>
          <w:sz w:val="24"/>
          <w:szCs w:val="24"/>
          <w:lang w:eastAsia="en-GB"/>
        </w:rPr>
        <w:t xml:space="preserve">Table </w:t>
      </w:r>
      <w:r w:rsidR="00E37779">
        <w:rPr>
          <w:rFonts w:ascii="Arial" w:eastAsia="Times New Roman" w:hAnsi="Arial" w:cs="Arial"/>
          <w:b/>
          <w:color w:val="333333"/>
          <w:sz w:val="24"/>
          <w:szCs w:val="24"/>
          <w:lang w:eastAsia="en-GB"/>
        </w:rPr>
        <w:t>3</w:t>
      </w:r>
      <w:r w:rsidRPr="00175A34">
        <w:rPr>
          <w:rFonts w:ascii="Arial" w:eastAsia="Times New Roman" w:hAnsi="Arial" w:cs="Arial"/>
          <w:b/>
          <w:color w:val="333333"/>
          <w:sz w:val="24"/>
          <w:szCs w:val="24"/>
          <w:lang w:eastAsia="en-GB"/>
        </w:rPr>
        <w:t xml:space="preserve">: Proportion of Houses required by Size within Rural Part of the </w:t>
      </w:r>
      <w:r w:rsidR="00E37779">
        <w:rPr>
          <w:rFonts w:ascii="Arial" w:eastAsia="Times New Roman" w:hAnsi="Arial" w:cs="Arial"/>
          <w:b/>
          <w:color w:val="333333"/>
          <w:sz w:val="24"/>
          <w:szCs w:val="24"/>
          <w:lang w:eastAsia="en-GB"/>
        </w:rPr>
        <w:t>Bromyard</w:t>
      </w:r>
      <w:r w:rsidRPr="00175A34">
        <w:rPr>
          <w:rFonts w:ascii="Arial" w:eastAsia="Times New Roman" w:hAnsi="Arial" w:cs="Arial"/>
          <w:b/>
          <w:color w:val="333333"/>
          <w:sz w:val="24"/>
          <w:szCs w:val="24"/>
          <w:lang w:eastAsia="en-GB"/>
        </w:rPr>
        <w:t xml:space="preserve"> Housing Market Area </w:t>
      </w:r>
    </w:p>
    <w:tbl>
      <w:tblPr>
        <w:tblStyle w:val="TableGrid"/>
        <w:tblW w:w="0" w:type="auto"/>
        <w:tblInd w:w="2093" w:type="dxa"/>
        <w:tblLook w:val="04A0" w:firstRow="1" w:lastRow="0" w:firstColumn="1" w:lastColumn="0" w:noHBand="0" w:noVBand="1"/>
      </w:tblPr>
      <w:tblGrid>
        <w:gridCol w:w="2887"/>
        <w:gridCol w:w="2783"/>
      </w:tblGrid>
      <w:tr w:rsidR="00175A34" w:rsidTr="00175A34">
        <w:tc>
          <w:tcPr>
            <w:tcW w:w="2887" w:type="dxa"/>
          </w:tcPr>
          <w:p w:rsidR="00175A34" w:rsidRDefault="00175A34"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House Type by Size</w:t>
            </w:r>
          </w:p>
        </w:tc>
        <w:tc>
          <w:tcPr>
            <w:tcW w:w="2783" w:type="dxa"/>
          </w:tcPr>
          <w:p w:rsidR="00175A34" w:rsidRDefault="00175A34"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Proportion Required </w:t>
            </w:r>
          </w:p>
        </w:tc>
      </w:tr>
      <w:tr w:rsidR="00175A34" w:rsidTr="00175A34">
        <w:tc>
          <w:tcPr>
            <w:tcW w:w="2887" w:type="dxa"/>
          </w:tcPr>
          <w:p w:rsidR="00175A34" w:rsidRDefault="00175A34"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1 Bedroom</w:t>
            </w:r>
          </w:p>
        </w:tc>
        <w:tc>
          <w:tcPr>
            <w:tcW w:w="2783" w:type="dxa"/>
          </w:tcPr>
          <w:p w:rsidR="00175A34" w:rsidRDefault="003511F7"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0.5</w:t>
            </w:r>
            <w:r w:rsidR="00175A34">
              <w:rPr>
                <w:rFonts w:ascii="Arial" w:eastAsia="Times New Roman" w:hAnsi="Arial" w:cs="Arial"/>
                <w:color w:val="333333"/>
                <w:sz w:val="24"/>
                <w:szCs w:val="24"/>
                <w:lang w:eastAsia="en-GB"/>
              </w:rPr>
              <w:t>%</w:t>
            </w:r>
          </w:p>
        </w:tc>
      </w:tr>
      <w:tr w:rsidR="00175A34" w:rsidTr="00175A34">
        <w:tc>
          <w:tcPr>
            <w:tcW w:w="2887" w:type="dxa"/>
          </w:tcPr>
          <w:p w:rsidR="00175A34" w:rsidRDefault="00175A34"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2. Bedrooms</w:t>
            </w:r>
          </w:p>
        </w:tc>
        <w:tc>
          <w:tcPr>
            <w:tcW w:w="2783" w:type="dxa"/>
          </w:tcPr>
          <w:p w:rsidR="00175A34" w:rsidRDefault="003511F7"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33.3</w:t>
            </w:r>
            <w:r w:rsidR="00175A34">
              <w:rPr>
                <w:rFonts w:ascii="Arial" w:eastAsia="Times New Roman" w:hAnsi="Arial" w:cs="Arial"/>
                <w:color w:val="333333"/>
                <w:sz w:val="24"/>
                <w:szCs w:val="24"/>
                <w:lang w:eastAsia="en-GB"/>
              </w:rPr>
              <w:t>%</w:t>
            </w:r>
          </w:p>
        </w:tc>
      </w:tr>
      <w:tr w:rsidR="00175A34" w:rsidTr="00175A34">
        <w:tc>
          <w:tcPr>
            <w:tcW w:w="2887" w:type="dxa"/>
          </w:tcPr>
          <w:p w:rsidR="00175A34" w:rsidRDefault="00175A34"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3 Bedrooms</w:t>
            </w:r>
          </w:p>
        </w:tc>
        <w:tc>
          <w:tcPr>
            <w:tcW w:w="2783" w:type="dxa"/>
          </w:tcPr>
          <w:p w:rsidR="00175A34" w:rsidRDefault="003511F7"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75.8</w:t>
            </w:r>
            <w:r w:rsidR="00175A34">
              <w:rPr>
                <w:rFonts w:ascii="Arial" w:eastAsia="Times New Roman" w:hAnsi="Arial" w:cs="Arial"/>
                <w:color w:val="333333"/>
                <w:sz w:val="24"/>
                <w:szCs w:val="24"/>
                <w:lang w:eastAsia="en-GB"/>
              </w:rPr>
              <w:t>%</w:t>
            </w:r>
          </w:p>
        </w:tc>
      </w:tr>
      <w:tr w:rsidR="00175A34" w:rsidTr="00175A34">
        <w:tc>
          <w:tcPr>
            <w:tcW w:w="2887" w:type="dxa"/>
          </w:tcPr>
          <w:p w:rsidR="00175A34" w:rsidRDefault="00175A34" w:rsidP="002335A1">
            <w:pPr>
              <w:spacing w:after="120"/>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4+ Bedrooms</w:t>
            </w:r>
          </w:p>
        </w:tc>
        <w:tc>
          <w:tcPr>
            <w:tcW w:w="2783" w:type="dxa"/>
          </w:tcPr>
          <w:p w:rsidR="00175A34" w:rsidRDefault="003511F7" w:rsidP="002335A1">
            <w:pPr>
              <w:spacing w:after="120"/>
              <w:ind w:left="709" w:hanging="709"/>
              <w:jc w:val="center"/>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-9.6</w:t>
            </w:r>
            <w:r w:rsidR="00175A34">
              <w:rPr>
                <w:rFonts w:ascii="Arial" w:eastAsia="Times New Roman" w:hAnsi="Arial" w:cs="Arial"/>
                <w:color w:val="333333"/>
                <w:sz w:val="24"/>
                <w:szCs w:val="24"/>
                <w:lang w:eastAsia="en-GB"/>
              </w:rPr>
              <w:t>%</w:t>
            </w:r>
          </w:p>
        </w:tc>
      </w:tr>
    </w:tbl>
    <w:p w:rsidR="00175A34" w:rsidRPr="00806E6F" w:rsidRDefault="00806E6F" w:rsidP="002335A1">
      <w:pPr>
        <w:spacing w:after="120" w:line="240" w:lineRule="auto"/>
        <w:ind w:left="709" w:hanging="709"/>
        <w:jc w:val="center"/>
        <w:outlineLvl w:val="1"/>
        <w:rPr>
          <w:rFonts w:ascii="Arial" w:eastAsia="Times New Roman" w:hAnsi="Arial" w:cs="Arial"/>
          <w:color w:val="333333"/>
          <w:lang w:eastAsia="en-GB"/>
        </w:rPr>
      </w:pPr>
      <w:r w:rsidRPr="00806E6F">
        <w:rPr>
          <w:rFonts w:ascii="Arial" w:eastAsia="Times New Roman" w:hAnsi="Arial" w:cs="Arial"/>
          <w:color w:val="333333"/>
          <w:lang w:eastAsia="en-GB"/>
        </w:rPr>
        <w:t>(Herefordshire Local Housing Market Assessment 2012 Update)</w:t>
      </w:r>
    </w:p>
    <w:p w:rsidR="00E75727" w:rsidRPr="00FF3FB2" w:rsidRDefault="00806E6F" w:rsidP="002335A1">
      <w:pPr>
        <w:pStyle w:val="ListParagraph"/>
        <w:numPr>
          <w:ilvl w:val="1"/>
          <w:numId w:val="1"/>
        </w:numPr>
        <w:spacing w:after="120" w:line="240" w:lineRule="auto"/>
        <w:ind w:left="709" w:hanging="709"/>
        <w:contextualSpacing w:val="0"/>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This information </w:t>
      </w:r>
      <w:r w:rsidR="003511F7">
        <w:rPr>
          <w:rFonts w:ascii="Arial" w:eastAsia="Times New Roman" w:hAnsi="Arial" w:cs="Arial"/>
          <w:color w:val="333333"/>
          <w:sz w:val="24"/>
          <w:szCs w:val="24"/>
          <w:lang w:eastAsia="en-GB"/>
        </w:rPr>
        <w:t>might be</w:t>
      </w:r>
      <w:r>
        <w:rPr>
          <w:rFonts w:ascii="Arial" w:eastAsia="Times New Roman" w:hAnsi="Arial" w:cs="Arial"/>
          <w:color w:val="333333"/>
          <w:sz w:val="24"/>
          <w:szCs w:val="24"/>
          <w:lang w:eastAsia="en-GB"/>
        </w:rPr>
        <w:t xml:space="preserve"> used to inform judgements about the number of dwellings suggested for the sites identified.</w:t>
      </w:r>
      <w:r w:rsidR="00037EE1">
        <w:rPr>
          <w:rFonts w:ascii="Arial" w:eastAsia="Times New Roman" w:hAnsi="Arial" w:cs="Arial"/>
          <w:color w:val="333333"/>
          <w:sz w:val="24"/>
          <w:szCs w:val="24"/>
          <w:lang w:eastAsia="en-GB"/>
        </w:rPr>
        <w:t xml:space="preserve"> More particularly, it suggests a greater need for 2 and 3 bedroom properties</w:t>
      </w:r>
      <w:r w:rsidR="00E842BD">
        <w:rPr>
          <w:rFonts w:ascii="Arial" w:eastAsia="Times New Roman" w:hAnsi="Arial" w:cs="Arial"/>
          <w:color w:val="333333"/>
          <w:sz w:val="24"/>
          <w:szCs w:val="24"/>
          <w:lang w:eastAsia="en-GB"/>
        </w:rPr>
        <w:t xml:space="preserve"> compared to the types of houses brought forward so far within the plan period.</w:t>
      </w:r>
      <w:r w:rsidR="00037EE1">
        <w:rPr>
          <w:rFonts w:ascii="Arial" w:eastAsia="Times New Roman" w:hAnsi="Arial" w:cs="Arial"/>
          <w:color w:val="333333"/>
          <w:sz w:val="24"/>
          <w:szCs w:val="24"/>
          <w:lang w:eastAsia="en-GB"/>
        </w:rPr>
        <w:t xml:space="preserve"> </w:t>
      </w:r>
    </w:p>
    <w:p w:rsidR="00AE7DCF" w:rsidRPr="00AE7DCF" w:rsidRDefault="00AE7DCF" w:rsidP="002335A1">
      <w:pPr>
        <w:spacing w:after="120" w:line="240" w:lineRule="auto"/>
        <w:ind w:left="709" w:hanging="709"/>
        <w:outlineLvl w:val="1"/>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 </w:t>
      </w:r>
    </w:p>
    <w:p w:rsidR="000646AE" w:rsidRPr="00806E6F" w:rsidRDefault="000646AE" w:rsidP="002335A1">
      <w:pPr>
        <w:spacing w:after="120" w:line="240" w:lineRule="auto"/>
        <w:ind w:left="709" w:hanging="709"/>
        <w:outlineLvl w:val="1"/>
        <w:rPr>
          <w:rFonts w:ascii="Arial" w:eastAsia="Times New Roman" w:hAnsi="Arial" w:cs="Arial"/>
          <w:color w:val="333333"/>
          <w:sz w:val="24"/>
          <w:szCs w:val="24"/>
          <w:lang w:eastAsia="en-GB"/>
        </w:rPr>
      </w:pPr>
      <w:r w:rsidRPr="00806E6F">
        <w:rPr>
          <w:rFonts w:ascii="Arial" w:eastAsia="Times New Roman" w:hAnsi="Arial" w:cs="Arial"/>
          <w:color w:val="333333"/>
          <w:sz w:val="24"/>
          <w:szCs w:val="24"/>
          <w:lang w:eastAsia="en-GB"/>
        </w:rPr>
        <w:t xml:space="preserve">     </w:t>
      </w:r>
    </w:p>
    <w:p w:rsidR="008F571B" w:rsidRDefault="008F571B" w:rsidP="002335A1">
      <w:pPr>
        <w:spacing w:after="120" w:line="240" w:lineRule="auto"/>
        <w:ind w:left="709" w:hanging="709"/>
        <w:outlineLvl w:val="1"/>
        <w:rPr>
          <w:rFonts w:ascii="Arial" w:eastAsia="Times New Roman" w:hAnsi="Arial" w:cs="Arial"/>
          <w:color w:val="333333"/>
          <w:sz w:val="41"/>
          <w:szCs w:val="41"/>
          <w:lang w:eastAsia="en-GB"/>
        </w:rPr>
      </w:pPr>
    </w:p>
    <w:p w:rsidR="00AC78D9" w:rsidRDefault="00AC78D9" w:rsidP="002335A1">
      <w:pPr>
        <w:pStyle w:val="Default"/>
        <w:spacing w:after="120"/>
        <w:ind w:left="709" w:hanging="709"/>
      </w:pPr>
    </w:p>
    <w:p w:rsidR="00DE234E" w:rsidRDefault="00DE234E" w:rsidP="002335A1">
      <w:pPr>
        <w:spacing w:after="120" w:line="240" w:lineRule="auto"/>
        <w:ind w:left="709" w:hanging="709"/>
        <w:rPr>
          <w:rFonts w:ascii="Frutiger-Light" w:hAnsi="Frutiger-Light" w:cs="Frutiger-Light"/>
          <w:sz w:val="24"/>
          <w:szCs w:val="24"/>
        </w:rPr>
      </w:pPr>
    </w:p>
    <w:p w:rsidR="00404862" w:rsidRDefault="00404862" w:rsidP="002335A1">
      <w:pPr>
        <w:spacing w:after="120" w:line="240" w:lineRule="auto"/>
        <w:ind w:left="709" w:hanging="709"/>
        <w:outlineLvl w:val="1"/>
        <w:rPr>
          <w:rFonts w:ascii="Arial" w:eastAsia="Times New Roman" w:hAnsi="Arial" w:cs="Arial"/>
          <w:color w:val="333333"/>
          <w:sz w:val="24"/>
          <w:szCs w:val="24"/>
          <w:lang w:eastAsia="en-GB"/>
        </w:rPr>
      </w:pPr>
    </w:p>
    <w:p w:rsidR="002335A1" w:rsidRDefault="002335A1" w:rsidP="002335A1">
      <w:pPr>
        <w:spacing w:after="120" w:line="240" w:lineRule="auto"/>
        <w:ind w:left="709" w:hanging="709"/>
        <w:jc w:val="center"/>
        <w:rPr>
          <w:rFonts w:ascii="Arial" w:hAnsi="Arial" w:cs="Arial"/>
          <w:b/>
          <w:sz w:val="28"/>
          <w:szCs w:val="28"/>
        </w:rPr>
      </w:pPr>
    </w:p>
    <w:p w:rsidR="002335A1" w:rsidRDefault="002335A1" w:rsidP="002335A1">
      <w:pPr>
        <w:spacing w:after="120" w:line="240" w:lineRule="auto"/>
        <w:ind w:left="709" w:hanging="709"/>
        <w:jc w:val="center"/>
        <w:rPr>
          <w:rFonts w:ascii="Arial" w:hAnsi="Arial" w:cs="Arial"/>
          <w:b/>
          <w:sz w:val="28"/>
          <w:szCs w:val="28"/>
        </w:rPr>
      </w:pPr>
    </w:p>
    <w:p w:rsidR="002335A1" w:rsidRDefault="002335A1" w:rsidP="002335A1">
      <w:pPr>
        <w:spacing w:after="120" w:line="240" w:lineRule="auto"/>
        <w:ind w:left="709" w:hanging="709"/>
        <w:jc w:val="center"/>
        <w:rPr>
          <w:rFonts w:ascii="Arial" w:hAnsi="Arial" w:cs="Arial"/>
          <w:b/>
          <w:sz w:val="28"/>
          <w:szCs w:val="28"/>
        </w:rPr>
      </w:pPr>
    </w:p>
    <w:p w:rsidR="00982B51" w:rsidRDefault="00982B51" w:rsidP="002335A1">
      <w:pPr>
        <w:spacing w:after="120" w:line="240" w:lineRule="auto"/>
        <w:ind w:left="709" w:hanging="709"/>
        <w:jc w:val="center"/>
        <w:rPr>
          <w:rFonts w:ascii="Arial" w:hAnsi="Arial" w:cs="Arial"/>
          <w:b/>
          <w:sz w:val="28"/>
          <w:szCs w:val="28"/>
        </w:rPr>
      </w:pPr>
      <w:r w:rsidRPr="00267E07">
        <w:rPr>
          <w:rFonts w:ascii="Arial" w:hAnsi="Arial" w:cs="Arial"/>
          <w:b/>
          <w:sz w:val="28"/>
          <w:szCs w:val="28"/>
        </w:rPr>
        <w:lastRenderedPageBreak/>
        <w:t>Appendix 1: Proposed Modifications to Herefordshire Local Plan Core Strategy - Polic</w:t>
      </w:r>
      <w:r w:rsidR="00267E07" w:rsidRPr="00267E07">
        <w:rPr>
          <w:rFonts w:ascii="Arial" w:hAnsi="Arial" w:cs="Arial"/>
          <w:b/>
          <w:sz w:val="28"/>
          <w:szCs w:val="28"/>
        </w:rPr>
        <w:t>y</w:t>
      </w:r>
      <w:r w:rsidRPr="00267E07">
        <w:rPr>
          <w:rFonts w:ascii="Arial" w:hAnsi="Arial" w:cs="Arial"/>
          <w:b/>
          <w:sz w:val="28"/>
          <w:szCs w:val="28"/>
        </w:rPr>
        <w:t xml:space="preserve"> RA2 </w:t>
      </w:r>
    </w:p>
    <w:p w:rsidR="00267E07" w:rsidRPr="00267E07" w:rsidRDefault="00267E07" w:rsidP="002335A1">
      <w:pPr>
        <w:spacing w:after="120" w:line="240" w:lineRule="auto"/>
        <w:ind w:left="709" w:hanging="709"/>
        <w:jc w:val="center"/>
        <w:rPr>
          <w:rFonts w:ascii="Arial" w:hAnsi="Arial" w:cs="Arial"/>
          <w:b/>
          <w:sz w:val="28"/>
          <w:szCs w:val="28"/>
        </w:rPr>
      </w:pPr>
    </w:p>
    <w:p w:rsidR="00982B51" w:rsidRPr="00267E07" w:rsidRDefault="00982B51" w:rsidP="002335A1">
      <w:pPr>
        <w:pStyle w:val="Default"/>
        <w:spacing w:after="120"/>
        <w:rPr>
          <w:b/>
          <w:bCs/>
          <w:color w:val="auto"/>
        </w:rPr>
      </w:pPr>
      <w:r w:rsidRPr="00267E07">
        <w:rPr>
          <w:b/>
          <w:bCs/>
          <w:color w:val="auto"/>
          <w:sz w:val="28"/>
          <w:szCs w:val="28"/>
        </w:rPr>
        <w:t>Policy RA2 – Housing in settlements outside Hereford and the market towns</w:t>
      </w:r>
      <w:r w:rsidRPr="00267E07">
        <w:rPr>
          <w:b/>
          <w:bCs/>
          <w:color w:val="auto"/>
        </w:rPr>
        <w:t xml:space="preserve">. </w:t>
      </w:r>
    </w:p>
    <w:p w:rsidR="00982B51" w:rsidRPr="002335A1" w:rsidRDefault="00982B51" w:rsidP="002335A1">
      <w:pPr>
        <w:pStyle w:val="Default"/>
        <w:spacing w:after="120"/>
        <w:rPr>
          <w:color w:val="auto"/>
        </w:rPr>
      </w:pPr>
      <w:r w:rsidRPr="002335A1">
        <w:rPr>
          <w:color w:val="auto"/>
        </w:rPr>
        <w:t xml:space="preserve">To maintain and strengthen locally sustainable communities across the rural parts of Herefordshire, sustainable housing growth will be supported in or adjacent to those settlements identified in Figures 4.20 and 4.21. This will enable development that has the ability to bolster existing service provision, improve facilities and infrastructure and meet the needs of the communities concerned. </w:t>
      </w:r>
    </w:p>
    <w:p w:rsidR="00982B51" w:rsidRPr="002335A1" w:rsidRDefault="00982B51" w:rsidP="002335A1">
      <w:pPr>
        <w:pStyle w:val="Default"/>
        <w:spacing w:after="120"/>
        <w:rPr>
          <w:color w:val="auto"/>
        </w:rPr>
      </w:pPr>
      <w:r w:rsidRPr="002335A1">
        <w:rPr>
          <w:color w:val="auto"/>
        </w:rPr>
        <w:t xml:space="preserve">The minimum growth target in each rural Housing Market Area will be used to inform the level of housing development to be delivered in the various settlements set out in Figures 4.20 and 4.21. Neighbourhood Development Plans will allocate land for new housing or otherwise demonstrate delivery to provide levels of housing to meet the various targets. </w:t>
      </w:r>
    </w:p>
    <w:p w:rsidR="00982B51" w:rsidRPr="002335A1" w:rsidRDefault="00982B51" w:rsidP="002335A1">
      <w:pPr>
        <w:pStyle w:val="Default"/>
        <w:spacing w:after="120"/>
        <w:rPr>
          <w:color w:val="auto"/>
        </w:rPr>
      </w:pPr>
      <w:r w:rsidRPr="002335A1">
        <w:rPr>
          <w:color w:val="auto"/>
        </w:rPr>
        <w:t xml:space="preserve">Housing proposals will be permitted where the following criteria are met: </w:t>
      </w:r>
    </w:p>
    <w:p w:rsidR="00982B51" w:rsidRPr="002335A1" w:rsidRDefault="00982B51" w:rsidP="002335A1">
      <w:pPr>
        <w:pStyle w:val="Default"/>
        <w:spacing w:after="120"/>
        <w:rPr>
          <w:color w:val="auto"/>
        </w:rPr>
      </w:pPr>
      <w:r w:rsidRPr="002335A1">
        <w:rPr>
          <w:color w:val="auto"/>
        </w:rPr>
        <w:t xml:space="preserve">1. Their design and layout should reflect the size, role and function of each settlement and be located within or adjacent to the main built up area. In relation to smaller settlements identified in fig 4.21 proposals will be expected to demonstrate particular attention to the form, layout, character and setting of the site and its location in that settlement and/or they result in development that contributes to or is essential to the social well-being of the settlement concerned; </w:t>
      </w:r>
    </w:p>
    <w:p w:rsidR="00982B51" w:rsidRPr="002335A1" w:rsidRDefault="00982B51" w:rsidP="002335A1">
      <w:pPr>
        <w:pStyle w:val="Default"/>
        <w:spacing w:after="120"/>
        <w:rPr>
          <w:color w:val="auto"/>
        </w:rPr>
      </w:pPr>
      <w:r w:rsidRPr="002335A1">
        <w:rPr>
          <w:color w:val="auto"/>
        </w:rPr>
        <w:t xml:space="preserve">2. Their locations make best and full use of suitable brownfield sites wherever possible; </w:t>
      </w:r>
    </w:p>
    <w:p w:rsidR="00982B51" w:rsidRPr="002335A1" w:rsidRDefault="00982B51" w:rsidP="002335A1">
      <w:pPr>
        <w:pStyle w:val="Default"/>
        <w:spacing w:after="120"/>
        <w:rPr>
          <w:color w:val="auto"/>
        </w:rPr>
      </w:pPr>
      <w:r w:rsidRPr="002335A1">
        <w:rPr>
          <w:color w:val="auto"/>
        </w:rPr>
        <w:t>3. They result in the development of high quality, sustainable schemes which are appropriate to their context and make a positive contribution to the surrounding</w:t>
      </w:r>
      <w:r w:rsidR="00267E07" w:rsidRPr="002335A1">
        <w:rPr>
          <w:color w:val="auto"/>
        </w:rPr>
        <w:t xml:space="preserve"> </w:t>
      </w:r>
      <w:r w:rsidRPr="002335A1">
        <w:rPr>
          <w:color w:val="auto"/>
        </w:rPr>
        <w:t xml:space="preserve">environment and its landscape setting; and </w:t>
      </w:r>
    </w:p>
    <w:p w:rsidR="00982B51" w:rsidRPr="002335A1" w:rsidRDefault="00982B51" w:rsidP="002335A1">
      <w:pPr>
        <w:pStyle w:val="Default"/>
        <w:spacing w:after="120"/>
        <w:rPr>
          <w:color w:val="auto"/>
        </w:rPr>
      </w:pPr>
      <w:r w:rsidRPr="002335A1">
        <w:rPr>
          <w:color w:val="auto"/>
        </w:rPr>
        <w:t xml:space="preserve">4. They result in the delivery of schemes that generate the size, type, tenure and range of housing that is required in particular settlements, reflecting local demand. </w:t>
      </w:r>
    </w:p>
    <w:p w:rsidR="00982B51" w:rsidRPr="002335A1" w:rsidRDefault="00982B51" w:rsidP="002335A1">
      <w:pPr>
        <w:pStyle w:val="Default"/>
        <w:spacing w:after="120"/>
        <w:rPr>
          <w:color w:val="auto"/>
        </w:rPr>
      </w:pPr>
    </w:p>
    <w:p w:rsidR="00982B51" w:rsidRPr="002335A1" w:rsidRDefault="00982B51" w:rsidP="002335A1">
      <w:pPr>
        <w:pStyle w:val="Default"/>
        <w:spacing w:after="120"/>
        <w:rPr>
          <w:color w:val="auto"/>
        </w:rPr>
      </w:pPr>
      <w:r w:rsidRPr="002335A1">
        <w:rPr>
          <w:color w:val="auto"/>
        </w:rPr>
        <w:t xml:space="preserve">Specific proposals for the delivery of local need housing will be particularly supported where they meet an identified need and their long-term retention as local needs housing is secured as such. </w:t>
      </w:r>
    </w:p>
    <w:p w:rsidR="00267E07" w:rsidRDefault="00267E07" w:rsidP="002335A1">
      <w:pPr>
        <w:spacing w:after="120" w:line="240" w:lineRule="auto"/>
        <w:ind w:left="709" w:hanging="709"/>
        <w:rPr>
          <w:rFonts w:ascii="Arial" w:hAnsi="Arial" w:cs="Arial"/>
          <w:sz w:val="24"/>
          <w:szCs w:val="24"/>
        </w:rPr>
      </w:pPr>
      <w:r>
        <w:rPr>
          <w:rFonts w:ascii="Arial" w:hAnsi="Arial" w:cs="Arial"/>
          <w:sz w:val="24"/>
          <w:szCs w:val="24"/>
        </w:rPr>
        <w:br w:type="page"/>
      </w:r>
    </w:p>
    <w:p w:rsidR="00612C08" w:rsidRDefault="00612C08" w:rsidP="002335A1">
      <w:pPr>
        <w:spacing w:after="120" w:line="240" w:lineRule="auto"/>
        <w:ind w:left="709" w:hanging="709"/>
        <w:rPr>
          <w:rFonts w:ascii="Arial" w:hAnsi="Arial" w:cs="Arial"/>
          <w:b/>
          <w:sz w:val="28"/>
          <w:szCs w:val="28"/>
        </w:rPr>
      </w:pPr>
      <w:r w:rsidRPr="00267E07">
        <w:rPr>
          <w:rFonts w:ascii="Arial" w:hAnsi="Arial" w:cs="Arial"/>
          <w:b/>
          <w:sz w:val="28"/>
          <w:szCs w:val="28"/>
        </w:rPr>
        <w:lastRenderedPageBreak/>
        <w:t xml:space="preserve">Appendix </w:t>
      </w:r>
      <w:r w:rsidR="003511F7">
        <w:rPr>
          <w:rFonts w:ascii="Arial" w:hAnsi="Arial" w:cs="Arial"/>
          <w:b/>
          <w:sz w:val="28"/>
          <w:szCs w:val="28"/>
        </w:rPr>
        <w:t>2</w:t>
      </w:r>
      <w:r>
        <w:rPr>
          <w:rFonts w:ascii="Arial" w:hAnsi="Arial" w:cs="Arial"/>
          <w:b/>
          <w:sz w:val="28"/>
          <w:szCs w:val="28"/>
        </w:rPr>
        <w:t>: Herefordshire Unitary development Plan Policy H6</w:t>
      </w:r>
      <w:r w:rsidR="003511F7">
        <w:rPr>
          <w:rFonts w:ascii="Arial" w:hAnsi="Arial" w:cs="Arial"/>
          <w:b/>
          <w:sz w:val="28"/>
          <w:szCs w:val="28"/>
        </w:rPr>
        <w:t xml:space="preserve"> (Applied previously to Stoke Prior)</w:t>
      </w:r>
    </w:p>
    <w:p w:rsidR="00612C08" w:rsidRDefault="00612C08" w:rsidP="002335A1">
      <w:pPr>
        <w:autoSpaceDE w:val="0"/>
        <w:autoSpaceDN w:val="0"/>
        <w:adjustRightInd w:val="0"/>
        <w:spacing w:after="120" w:line="240" w:lineRule="auto"/>
        <w:ind w:left="709" w:hanging="709"/>
        <w:rPr>
          <w:rFonts w:ascii="Arial" w:hAnsi="Arial" w:cs="Arial"/>
          <w:b/>
          <w:sz w:val="28"/>
          <w:szCs w:val="28"/>
        </w:rPr>
      </w:pPr>
    </w:p>
    <w:p w:rsidR="00612C08" w:rsidRPr="00612C08" w:rsidRDefault="00612C08" w:rsidP="002335A1">
      <w:pPr>
        <w:autoSpaceDE w:val="0"/>
        <w:autoSpaceDN w:val="0"/>
        <w:adjustRightInd w:val="0"/>
        <w:spacing w:after="120" w:line="240" w:lineRule="auto"/>
        <w:ind w:left="709" w:hanging="709"/>
        <w:rPr>
          <w:rFonts w:ascii="Arial" w:hAnsi="Arial" w:cs="Arial"/>
          <w:b/>
          <w:bCs/>
          <w:color w:val="000000"/>
          <w:sz w:val="28"/>
          <w:szCs w:val="28"/>
        </w:rPr>
      </w:pPr>
      <w:r w:rsidRPr="00612C08">
        <w:rPr>
          <w:rFonts w:ascii="Arial" w:hAnsi="Arial" w:cs="Arial"/>
          <w:b/>
          <w:bCs/>
          <w:color w:val="000000"/>
          <w:sz w:val="28"/>
          <w:szCs w:val="28"/>
        </w:rPr>
        <w:t xml:space="preserve">H6 Housing in smaller settlements </w:t>
      </w:r>
    </w:p>
    <w:p w:rsidR="00612C08" w:rsidRPr="00612C08" w:rsidRDefault="00612C08" w:rsidP="002335A1">
      <w:pPr>
        <w:autoSpaceDE w:val="0"/>
        <w:autoSpaceDN w:val="0"/>
        <w:adjustRightInd w:val="0"/>
        <w:spacing w:after="120" w:line="240" w:lineRule="auto"/>
        <w:ind w:left="709" w:hanging="709"/>
        <w:rPr>
          <w:rFonts w:ascii="Arial" w:hAnsi="Arial" w:cs="Arial"/>
          <w:color w:val="000000"/>
          <w:sz w:val="24"/>
          <w:szCs w:val="24"/>
        </w:rPr>
      </w:pPr>
    </w:p>
    <w:p w:rsidR="00612C08" w:rsidRPr="002335A1" w:rsidRDefault="00612C08" w:rsidP="002335A1">
      <w:pPr>
        <w:autoSpaceDE w:val="0"/>
        <w:autoSpaceDN w:val="0"/>
        <w:adjustRightInd w:val="0"/>
        <w:spacing w:after="120" w:line="240" w:lineRule="auto"/>
        <w:rPr>
          <w:rFonts w:ascii="Arial" w:hAnsi="Arial" w:cs="Arial"/>
          <w:bCs/>
          <w:color w:val="000000"/>
          <w:sz w:val="24"/>
          <w:szCs w:val="24"/>
        </w:rPr>
      </w:pPr>
      <w:r w:rsidRPr="002335A1">
        <w:rPr>
          <w:rFonts w:ascii="Arial" w:hAnsi="Arial" w:cs="Arial"/>
          <w:bCs/>
          <w:color w:val="000000"/>
          <w:sz w:val="24"/>
          <w:szCs w:val="24"/>
        </w:rPr>
        <w:t xml:space="preserve">In the following settlements, proposals for residential development on plots arising from the infilling of small gaps between existing dwellings within the settlement will be permitted, where: </w:t>
      </w:r>
    </w:p>
    <w:p w:rsidR="00612C08" w:rsidRPr="002335A1" w:rsidRDefault="00612C08" w:rsidP="002335A1">
      <w:pPr>
        <w:autoSpaceDE w:val="0"/>
        <w:autoSpaceDN w:val="0"/>
        <w:adjustRightInd w:val="0"/>
        <w:spacing w:after="120" w:line="240" w:lineRule="auto"/>
        <w:rPr>
          <w:rFonts w:ascii="Arial" w:hAnsi="Arial" w:cs="Arial"/>
          <w:bCs/>
          <w:color w:val="000000"/>
          <w:sz w:val="24"/>
          <w:szCs w:val="24"/>
        </w:rPr>
      </w:pPr>
    </w:p>
    <w:p w:rsidR="00612C08" w:rsidRPr="002335A1" w:rsidRDefault="00612C08" w:rsidP="002335A1">
      <w:pPr>
        <w:autoSpaceDE w:val="0"/>
        <w:autoSpaceDN w:val="0"/>
        <w:adjustRightInd w:val="0"/>
        <w:spacing w:after="120" w:line="240" w:lineRule="auto"/>
        <w:rPr>
          <w:rFonts w:ascii="Arial" w:hAnsi="Arial" w:cs="Arial"/>
          <w:bCs/>
          <w:color w:val="000000"/>
          <w:sz w:val="24"/>
          <w:szCs w:val="24"/>
        </w:rPr>
      </w:pPr>
      <w:r w:rsidRPr="002335A1">
        <w:rPr>
          <w:rFonts w:ascii="Arial" w:hAnsi="Arial" w:cs="Arial"/>
          <w:bCs/>
          <w:color w:val="000000"/>
          <w:sz w:val="24"/>
          <w:szCs w:val="24"/>
        </w:rPr>
        <w:t>1. the</w:t>
      </w:r>
      <w:bookmarkStart w:id="0" w:name="_GoBack"/>
      <w:bookmarkEnd w:id="0"/>
      <w:r w:rsidRPr="002335A1">
        <w:rPr>
          <w:rFonts w:ascii="Arial" w:hAnsi="Arial" w:cs="Arial"/>
          <w:bCs/>
          <w:color w:val="000000"/>
          <w:sz w:val="24"/>
          <w:szCs w:val="24"/>
        </w:rPr>
        <w:t xml:space="preserve"> dwelling size is limited to a habitable living space of 90 sq</w:t>
      </w:r>
      <w:r w:rsidR="00186CA2" w:rsidRPr="002335A1">
        <w:rPr>
          <w:rFonts w:ascii="Arial" w:hAnsi="Arial" w:cs="Arial"/>
          <w:bCs/>
          <w:color w:val="000000"/>
          <w:sz w:val="24"/>
          <w:szCs w:val="24"/>
        </w:rPr>
        <w:t>.</w:t>
      </w:r>
      <w:r w:rsidRPr="002335A1">
        <w:rPr>
          <w:rFonts w:ascii="Arial" w:hAnsi="Arial" w:cs="Arial"/>
          <w:bCs/>
          <w:color w:val="000000"/>
          <w:sz w:val="24"/>
          <w:szCs w:val="24"/>
        </w:rPr>
        <w:t xml:space="preserve"> m (3 bedroom house) or 100 sq</w:t>
      </w:r>
      <w:r w:rsidR="00186CA2" w:rsidRPr="002335A1">
        <w:rPr>
          <w:rFonts w:ascii="Arial" w:hAnsi="Arial" w:cs="Arial"/>
          <w:bCs/>
          <w:color w:val="000000"/>
          <w:sz w:val="24"/>
          <w:szCs w:val="24"/>
        </w:rPr>
        <w:t>.</w:t>
      </w:r>
      <w:r w:rsidRPr="002335A1">
        <w:rPr>
          <w:rFonts w:ascii="Arial" w:hAnsi="Arial" w:cs="Arial"/>
          <w:bCs/>
          <w:color w:val="000000"/>
          <w:sz w:val="24"/>
          <w:szCs w:val="24"/>
        </w:rPr>
        <w:t xml:space="preserve"> m (4 bedroom house); </w:t>
      </w:r>
    </w:p>
    <w:p w:rsidR="00612C08" w:rsidRPr="002335A1" w:rsidRDefault="00612C08" w:rsidP="002335A1">
      <w:pPr>
        <w:autoSpaceDE w:val="0"/>
        <w:autoSpaceDN w:val="0"/>
        <w:adjustRightInd w:val="0"/>
        <w:spacing w:after="120" w:line="240" w:lineRule="auto"/>
        <w:rPr>
          <w:rFonts w:ascii="Arial" w:hAnsi="Arial" w:cs="Arial"/>
          <w:bCs/>
          <w:color w:val="000000"/>
          <w:sz w:val="24"/>
          <w:szCs w:val="24"/>
        </w:rPr>
      </w:pPr>
      <w:r w:rsidRPr="002335A1">
        <w:rPr>
          <w:rFonts w:ascii="Arial" w:hAnsi="Arial" w:cs="Arial"/>
          <w:bCs/>
          <w:color w:val="000000"/>
          <w:sz w:val="24"/>
          <w:szCs w:val="24"/>
        </w:rPr>
        <w:t>2. the plot size is limited to a maximum area of 350 sq</w:t>
      </w:r>
      <w:r w:rsidR="00186CA2" w:rsidRPr="002335A1">
        <w:rPr>
          <w:rFonts w:ascii="Arial" w:hAnsi="Arial" w:cs="Arial"/>
          <w:bCs/>
          <w:color w:val="000000"/>
          <w:sz w:val="24"/>
          <w:szCs w:val="24"/>
        </w:rPr>
        <w:t>.</w:t>
      </w:r>
      <w:r w:rsidRPr="002335A1">
        <w:rPr>
          <w:rFonts w:ascii="Arial" w:hAnsi="Arial" w:cs="Arial"/>
          <w:bCs/>
          <w:color w:val="000000"/>
          <w:sz w:val="24"/>
          <w:szCs w:val="24"/>
        </w:rPr>
        <w:t xml:space="preserve"> m; and </w:t>
      </w:r>
    </w:p>
    <w:p w:rsidR="00612C08" w:rsidRPr="002335A1" w:rsidRDefault="00612C08" w:rsidP="002335A1">
      <w:pPr>
        <w:autoSpaceDE w:val="0"/>
        <w:autoSpaceDN w:val="0"/>
        <w:adjustRightInd w:val="0"/>
        <w:spacing w:after="120" w:line="240" w:lineRule="auto"/>
        <w:rPr>
          <w:rFonts w:ascii="Arial" w:hAnsi="Arial" w:cs="Arial"/>
          <w:bCs/>
          <w:color w:val="000000"/>
          <w:sz w:val="24"/>
          <w:szCs w:val="24"/>
        </w:rPr>
      </w:pPr>
      <w:r w:rsidRPr="002335A1">
        <w:rPr>
          <w:rFonts w:ascii="Arial" w:hAnsi="Arial" w:cs="Arial"/>
          <w:bCs/>
          <w:color w:val="000000"/>
          <w:sz w:val="24"/>
          <w:szCs w:val="24"/>
        </w:rPr>
        <w:t xml:space="preserve">3. the infill gap is no more than 30 metres frontage. In considering such planning applications priority will be given to applications on previously developed land. </w:t>
      </w:r>
    </w:p>
    <w:p w:rsidR="00612C08" w:rsidRPr="002335A1" w:rsidRDefault="00612C08" w:rsidP="002335A1">
      <w:pPr>
        <w:autoSpaceDE w:val="0"/>
        <w:autoSpaceDN w:val="0"/>
        <w:adjustRightInd w:val="0"/>
        <w:spacing w:after="120" w:line="240" w:lineRule="auto"/>
        <w:rPr>
          <w:rFonts w:ascii="Arial" w:hAnsi="Arial" w:cs="Arial"/>
          <w:bCs/>
          <w:color w:val="000000"/>
          <w:sz w:val="24"/>
          <w:szCs w:val="24"/>
        </w:rPr>
      </w:pPr>
      <w:r w:rsidRPr="002335A1">
        <w:rPr>
          <w:rFonts w:ascii="Arial" w:hAnsi="Arial" w:cs="Arial"/>
          <w:bCs/>
          <w:color w:val="000000"/>
          <w:sz w:val="24"/>
          <w:szCs w:val="24"/>
        </w:rPr>
        <w:t xml:space="preserve">Developments on an appropriate infill plot larger than 30 metres frontage will be permitted for affordable housing where a proven local need has been successfully demonstrated. </w:t>
      </w:r>
    </w:p>
    <w:p w:rsidR="00612C08" w:rsidRPr="002335A1" w:rsidRDefault="00612C08" w:rsidP="002335A1">
      <w:pPr>
        <w:autoSpaceDE w:val="0"/>
        <w:autoSpaceDN w:val="0"/>
        <w:adjustRightInd w:val="0"/>
        <w:spacing w:after="120" w:line="240" w:lineRule="auto"/>
        <w:rPr>
          <w:rFonts w:ascii="Arial" w:hAnsi="Arial" w:cs="Arial"/>
          <w:bCs/>
          <w:color w:val="000000"/>
          <w:sz w:val="24"/>
          <w:szCs w:val="24"/>
        </w:rPr>
      </w:pPr>
      <w:r w:rsidRPr="002335A1">
        <w:rPr>
          <w:rFonts w:ascii="Arial" w:hAnsi="Arial" w:cs="Arial"/>
          <w:bCs/>
          <w:color w:val="000000"/>
          <w:sz w:val="24"/>
          <w:szCs w:val="24"/>
        </w:rPr>
        <w:t>Planning permission for the extension of dwellings approved under this policy will not be permitted. Planning permissions will be subject to a condition removing permitted development rights for the conversion of an ancillary garage into habitable accommodation, or for erection of any extension or detached buildings within the curtilage. Proposals should be compatible with the housing design and other policies of the Plan and respect the character and scale of the settlement concerned.</w:t>
      </w:r>
    </w:p>
    <w:p w:rsidR="00ED15C1" w:rsidRDefault="00ED15C1" w:rsidP="002335A1">
      <w:pPr>
        <w:autoSpaceDE w:val="0"/>
        <w:autoSpaceDN w:val="0"/>
        <w:adjustRightInd w:val="0"/>
        <w:spacing w:after="120" w:line="240" w:lineRule="auto"/>
        <w:ind w:left="709" w:hanging="709"/>
        <w:rPr>
          <w:rFonts w:ascii="Arial" w:hAnsi="Arial" w:cs="Arial"/>
          <w:b/>
          <w:bCs/>
          <w:color w:val="000000"/>
          <w:sz w:val="24"/>
          <w:szCs w:val="24"/>
        </w:rPr>
      </w:pPr>
    </w:p>
    <w:p w:rsidR="002335A1" w:rsidRDefault="002335A1" w:rsidP="002335A1">
      <w:pPr>
        <w:autoSpaceDE w:val="0"/>
        <w:autoSpaceDN w:val="0"/>
        <w:adjustRightInd w:val="0"/>
        <w:spacing w:after="120" w:line="240" w:lineRule="auto"/>
        <w:ind w:left="709" w:hanging="709"/>
        <w:rPr>
          <w:rFonts w:ascii="Arial" w:hAnsi="Arial" w:cs="Arial"/>
          <w:b/>
          <w:bCs/>
          <w:color w:val="000000"/>
          <w:sz w:val="24"/>
          <w:szCs w:val="24"/>
        </w:rPr>
      </w:pPr>
    </w:p>
    <w:sectPr w:rsidR="002335A1" w:rsidSect="002335A1">
      <w:footerReference w:type="default" r:id="rId10"/>
      <w:pgSz w:w="11906" w:h="16838"/>
      <w:pgMar w:top="993" w:right="1440" w:bottom="1276"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DB3" w:rsidRDefault="00731DB3" w:rsidP="009373F1">
      <w:pPr>
        <w:spacing w:after="0" w:line="240" w:lineRule="auto"/>
      </w:pPr>
      <w:r>
        <w:separator/>
      </w:r>
    </w:p>
  </w:endnote>
  <w:endnote w:type="continuationSeparator" w:id="0">
    <w:p w:rsidR="00731DB3" w:rsidRDefault="00731DB3" w:rsidP="009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nsport Heav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989184"/>
      <w:docPartObj>
        <w:docPartGallery w:val="Page Numbers (Bottom of Page)"/>
        <w:docPartUnique/>
      </w:docPartObj>
    </w:sdtPr>
    <w:sdtEndPr>
      <w:rPr>
        <w:noProof/>
      </w:rPr>
    </w:sdtEndPr>
    <w:sdtContent>
      <w:p w:rsidR="002335A1" w:rsidRDefault="002335A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2F08EB" w:rsidRDefault="002F0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DB3" w:rsidRDefault="00731DB3" w:rsidP="009373F1">
      <w:pPr>
        <w:spacing w:after="0" w:line="240" w:lineRule="auto"/>
      </w:pPr>
      <w:r>
        <w:separator/>
      </w:r>
    </w:p>
  </w:footnote>
  <w:footnote w:type="continuationSeparator" w:id="0">
    <w:p w:rsidR="00731DB3" w:rsidRDefault="00731DB3" w:rsidP="009373F1">
      <w:pPr>
        <w:spacing w:after="0" w:line="240" w:lineRule="auto"/>
      </w:pPr>
      <w:r>
        <w:continuationSeparator/>
      </w:r>
    </w:p>
  </w:footnote>
  <w:footnote w:id="1">
    <w:p w:rsidR="002F08EB" w:rsidRPr="00240D27" w:rsidRDefault="002F08EB" w:rsidP="00F54DD5">
      <w:pPr>
        <w:spacing w:before="180" w:after="180" w:line="375" w:lineRule="atLeast"/>
        <w:rPr>
          <w:rFonts w:ascii="Arial" w:eastAsia="Times New Roman" w:hAnsi="Arial" w:cs="Arial"/>
          <w:color w:val="333333"/>
          <w:sz w:val="16"/>
          <w:szCs w:val="16"/>
          <w:lang w:eastAsia="en-GB"/>
        </w:rPr>
      </w:pPr>
      <w:r>
        <w:rPr>
          <w:rStyle w:val="FootnoteReference"/>
        </w:rPr>
        <w:footnoteRef/>
      </w:r>
      <w:r>
        <w:t xml:space="preserve"> </w:t>
      </w:r>
      <w:r w:rsidRPr="00240D27">
        <w:rPr>
          <w:rFonts w:ascii="Arial" w:eastAsia="Times New Roman" w:hAnsi="Arial" w:cs="Arial"/>
          <w:color w:val="333333"/>
          <w:sz w:val="16"/>
          <w:szCs w:val="16"/>
          <w:lang w:eastAsia="en-GB"/>
        </w:rPr>
        <w:t xml:space="preserve">Paragraph: 010 Reference ID: 3-010-20140306 </w:t>
      </w:r>
    </w:p>
    <w:p w:rsidR="002F08EB" w:rsidRDefault="002F08EB" w:rsidP="00F54DD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5578B"/>
    <w:multiLevelType w:val="hybridMultilevel"/>
    <w:tmpl w:val="4D351B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F42B78"/>
    <w:multiLevelType w:val="hybridMultilevel"/>
    <w:tmpl w:val="4DE815F4"/>
    <w:lvl w:ilvl="0" w:tplc="CCD6A7EA">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
    <w:nsid w:val="385B4493"/>
    <w:multiLevelType w:val="hybridMultilevel"/>
    <w:tmpl w:val="DB12F19E"/>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53E23C60"/>
    <w:multiLevelType w:val="hybridMultilevel"/>
    <w:tmpl w:val="654A3AAE"/>
    <w:lvl w:ilvl="0" w:tplc="5CF0CC3A">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4">
    <w:nsid w:val="56780F9F"/>
    <w:multiLevelType w:val="multilevel"/>
    <w:tmpl w:val="389417A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C81"/>
    <w:rsid w:val="00011FB2"/>
    <w:rsid w:val="00012BF0"/>
    <w:rsid w:val="00013BEC"/>
    <w:rsid w:val="000151FE"/>
    <w:rsid w:val="0001583E"/>
    <w:rsid w:val="000165D6"/>
    <w:rsid w:val="0002151D"/>
    <w:rsid w:val="0002258C"/>
    <w:rsid w:val="000243D1"/>
    <w:rsid w:val="00025435"/>
    <w:rsid w:val="00026FCE"/>
    <w:rsid w:val="0003073D"/>
    <w:rsid w:val="00031B88"/>
    <w:rsid w:val="00035082"/>
    <w:rsid w:val="000351D7"/>
    <w:rsid w:val="00037EE1"/>
    <w:rsid w:val="00040B95"/>
    <w:rsid w:val="000411DD"/>
    <w:rsid w:val="00043626"/>
    <w:rsid w:val="0004445B"/>
    <w:rsid w:val="00046FA1"/>
    <w:rsid w:val="00051A6C"/>
    <w:rsid w:val="0005262D"/>
    <w:rsid w:val="00056A97"/>
    <w:rsid w:val="00061F32"/>
    <w:rsid w:val="00063146"/>
    <w:rsid w:val="00063371"/>
    <w:rsid w:val="000646AE"/>
    <w:rsid w:val="00066C6F"/>
    <w:rsid w:val="00072028"/>
    <w:rsid w:val="000810C4"/>
    <w:rsid w:val="00083B2F"/>
    <w:rsid w:val="00083BF1"/>
    <w:rsid w:val="00086606"/>
    <w:rsid w:val="000872D1"/>
    <w:rsid w:val="000942DE"/>
    <w:rsid w:val="000A0549"/>
    <w:rsid w:val="000A0D00"/>
    <w:rsid w:val="000A1622"/>
    <w:rsid w:val="000A217D"/>
    <w:rsid w:val="000A36DC"/>
    <w:rsid w:val="000A3EC6"/>
    <w:rsid w:val="000A6F0E"/>
    <w:rsid w:val="000A7A71"/>
    <w:rsid w:val="000B2C2A"/>
    <w:rsid w:val="000C41B2"/>
    <w:rsid w:val="000C43D8"/>
    <w:rsid w:val="000C5A4B"/>
    <w:rsid w:val="000D1C2F"/>
    <w:rsid w:val="000D6B48"/>
    <w:rsid w:val="000E0099"/>
    <w:rsid w:val="000E1072"/>
    <w:rsid w:val="000E197B"/>
    <w:rsid w:val="000E3063"/>
    <w:rsid w:val="000E6140"/>
    <w:rsid w:val="000F016D"/>
    <w:rsid w:val="000F1B71"/>
    <w:rsid w:val="000F301D"/>
    <w:rsid w:val="000F4657"/>
    <w:rsid w:val="00101C4F"/>
    <w:rsid w:val="00107ADA"/>
    <w:rsid w:val="00107DB9"/>
    <w:rsid w:val="00111C56"/>
    <w:rsid w:val="00112678"/>
    <w:rsid w:val="00117D02"/>
    <w:rsid w:val="00120FF8"/>
    <w:rsid w:val="00121369"/>
    <w:rsid w:val="00125282"/>
    <w:rsid w:val="0012765A"/>
    <w:rsid w:val="0013018F"/>
    <w:rsid w:val="0013045E"/>
    <w:rsid w:val="001411E7"/>
    <w:rsid w:val="00146C4C"/>
    <w:rsid w:val="001517EE"/>
    <w:rsid w:val="001519A2"/>
    <w:rsid w:val="001541AB"/>
    <w:rsid w:val="00154DB8"/>
    <w:rsid w:val="00155614"/>
    <w:rsid w:val="001639A7"/>
    <w:rsid w:val="0016529A"/>
    <w:rsid w:val="001669C2"/>
    <w:rsid w:val="00170A22"/>
    <w:rsid w:val="00171816"/>
    <w:rsid w:val="001733DA"/>
    <w:rsid w:val="00175A34"/>
    <w:rsid w:val="00175E01"/>
    <w:rsid w:val="0018459F"/>
    <w:rsid w:val="00186CA2"/>
    <w:rsid w:val="001873D4"/>
    <w:rsid w:val="00193C81"/>
    <w:rsid w:val="00195118"/>
    <w:rsid w:val="001A3216"/>
    <w:rsid w:val="001A33B5"/>
    <w:rsid w:val="001A37C3"/>
    <w:rsid w:val="001A3808"/>
    <w:rsid w:val="001B02C5"/>
    <w:rsid w:val="001B63D9"/>
    <w:rsid w:val="001B6BBF"/>
    <w:rsid w:val="001C56EB"/>
    <w:rsid w:val="001C7012"/>
    <w:rsid w:val="001E0F7C"/>
    <w:rsid w:val="001E705D"/>
    <w:rsid w:val="001F33A3"/>
    <w:rsid w:val="001F4720"/>
    <w:rsid w:val="00200A45"/>
    <w:rsid w:val="002028B8"/>
    <w:rsid w:val="00202E7C"/>
    <w:rsid w:val="00202FA7"/>
    <w:rsid w:val="002176E4"/>
    <w:rsid w:val="00217AD5"/>
    <w:rsid w:val="00221FEE"/>
    <w:rsid w:val="00230B4E"/>
    <w:rsid w:val="00230FE5"/>
    <w:rsid w:val="002335A1"/>
    <w:rsid w:val="0023496B"/>
    <w:rsid w:val="002349B1"/>
    <w:rsid w:val="00236728"/>
    <w:rsid w:val="00246A42"/>
    <w:rsid w:val="00246C43"/>
    <w:rsid w:val="00246DD8"/>
    <w:rsid w:val="00250B51"/>
    <w:rsid w:val="00250BA3"/>
    <w:rsid w:val="00251A61"/>
    <w:rsid w:val="0025214B"/>
    <w:rsid w:val="00252C51"/>
    <w:rsid w:val="00256DCA"/>
    <w:rsid w:val="00262E4B"/>
    <w:rsid w:val="00267E07"/>
    <w:rsid w:val="00270EA3"/>
    <w:rsid w:val="00271DE4"/>
    <w:rsid w:val="00272600"/>
    <w:rsid w:val="00275457"/>
    <w:rsid w:val="00277495"/>
    <w:rsid w:val="00277C47"/>
    <w:rsid w:val="00281D23"/>
    <w:rsid w:val="00282D69"/>
    <w:rsid w:val="0028583B"/>
    <w:rsid w:val="00286E02"/>
    <w:rsid w:val="0029074A"/>
    <w:rsid w:val="002907EC"/>
    <w:rsid w:val="002915D9"/>
    <w:rsid w:val="002936D1"/>
    <w:rsid w:val="00294097"/>
    <w:rsid w:val="002A3819"/>
    <w:rsid w:val="002B0DD7"/>
    <w:rsid w:val="002C4448"/>
    <w:rsid w:val="002C481F"/>
    <w:rsid w:val="002C49FA"/>
    <w:rsid w:val="002C6E41"/>
    <w:rsid w:val="002C7E5E"/>
    <w:rsid w:val="002D0C74"/>
    <w:rsid w:val="002D30BF"/>
    <w:rsid w:val="002D37C8"/>
    <w:rsid w:val="002E1EEA"/>
    <w:rsid w:val="002E2F49"/>
    <w:rsid w:val="002E56F2"/>
    <w:rsid w:val="002E73C5"/>
    <w:rsid w:val="002F08EB"/>
    <w:rsid w:val="002F1762"/>
    <w:rsid w:val="002F2B15"/>
    <w:rsid w:val="002F3CDC"/>
    <w:rsid w:val="002F442C"/>
    <w:rsid w:val="002F5417"/>
    <w:rsid w:val="003038CB"/>
    <w:rsid w:val="00305A1A"/>
    <w:rsid w:val="00310512"/>
    <w:rsid w:val="00311437"/>
    <w:rsid w:val="003142E0"/>
    <w:rsid w:val="00322274"/>
    <w:rsid w:val="003234D2"/>
    <w:rsid w:val="00325E76"/>
    <w:rsid w:val="003263F1"/>
    <w:rsid w:val="003272BC"/>
    <w:rsid w:val="00331C60"/>
    <w:rsid w:val="00331F07"/>
    <w:rsid w:val="00332227"/>
    <w:rsid w:val="00335940"/>
    <w:rsid w:val="0033617D"/>
    <w:rsid w:val="003401E8"/>
    <w:rsid w:val="00341601"/>
    <w:rsid w:val="00343A21"/>
    <w:rsid w:val="003508BC"/>
    <w:rsid w:val="003511F7"/>
    <w:rsid w:val="00354BC6"/>
    <w:rsid w:val="00354F45"/>
    <w:rsid w:val="00356986"/>
    <w:rsid w:val="00363CA9"/>
    <w:rsid w:val="0036576F"/>
    <w:rsid w:val="00366479"/>
    <w:rsid w:val="00371976"/>
    <w:rsid w:val="00376AEF"/>
    <w:rsid w:val="00381411"/>
    <w:rsid w:val="0038281F"/>
    <w:rsid w:val="00385186"/>
    <w:rsid w:val="00387720"/>
    <w:rsid w:val="003948A3"/>
    <w:rsid w:val="0039677C"/>
    <w:rsid w:val="00396DC3"/>
    <w:rsid w:val="003A52C2"/>
    <w:rsid w:val="003A6436"/>
    <w:rsid w:val="003A68ED"/>
    <w:rsid w:val="003B201B"/>
    <w:rsid w:val="003B2FEA"/>
    <w:rsid w:val="003B338D"/>
    <w:rsid w:val="003B38D5"/>
    <w:rsid w:val="003B4830"/>
    <w:rsid w:val="003B5DC2"/>
    <w:rsid w:val="003B66A0"/>
    <w:rsid w:val="003B71EA"/>
    <w:rsid w:val="003C252F"/>
    <w:rsid w:val="003C3EA4"/>
    <w:rsid w:val="003C64D9"/>
    <w:rsid w:val="003C7AAC"/>
    <w:rsid w:val="003D12F8"/>
    <w:rsid w:val="003D2F73"/>
    <w:rsid w:val="003D3F2A"/>
    <w:rsid w:val="003D5AF5"/>
    <w:rsid w:val="003D65C7"/>
    <w:rsid w:val="003E1228"/>
    <w:rsid w:val="003E4764"/>
    <w:rsid w:val="003E5888"/>
    <w:rsid w:val="003E6F64"/>
    <w:rsid w:val="003F194E"/>
    <w:rsid w:val="003F2AA6"/>
    <w:rsid w:val="003F4092"/>
    <w:rsid w:val="003F6F24"/>
    <w:rsid w:val="003F7D0C"/>
    <w:rsid w:val="00400BCC"/>
    <w:rsid w:val="00404862"/>
    <w:rsid w:val="00407071"/>
    <w:rsid w:val="004112C2"/>
    <w:rsid w:val="004123D6"/>
    <w:rsid w:val="00412A40"/>
    <w:rsid w:val="0041313B"/>
    <w:rsid w:val="00413EB0"/>
    <w:rsid w:val="004168FB"/>
    <w:rsid w:val="00425473"/>
    <w:rsid w:val="00430969"/>
    <w:rsid w:val="00433DB1"/>
    <w:rsid w:val="00434EC9"/>
    <w:rsid w:val="00436BC8"/>
    <w:rsid w:val="00442280"/>
    <w:rsid w:val="004426EA"/>
    <w:rsid w:val="0044536E"/>
    <w:rsid w:val="00445D19"/>
    <w:rsid w:val="0044657E"/>
    <w:rsid w:val="0045348C"/>
    <w:rsid w:val="0046196A"/>
    <w:rsid w:val="0047050D"/>
    <w:rsid w:val="00475311"/>
    <w:rsid w:val="00481C6D"/>
    <w:rsid w:val="00483BAF"/>
    <w:rsid w:val="00484B01"/>
    <w:rsid w:val="0048577A"/>
    <w:rsid w:val="00485CD7"/>
    <w:rsid w:val="00486AE0"/>
    <w:rsid w:val="004870F9"/>
    <w:rsid w:val="004920F8"/>
    <w:rsid w:val="004930A5"/>
    <w:rsid w:val="00493547"/>
    <w:rsid w:val="00493AC7"/>
    <w:rsid w:val="004941B1"/>
    <w:rsid w:val="0049489F"/>
    <w:rsid w:val="004959AF"/>
    <w:rsid w:val="00496E5F"/>
    <w:rsid w:val="004A26AF"/>
    <w:rsid w:val="004A387C"/>
    <w:rsid w:val="004A4A31"/>
    <w:rsid w:val="004A5116"/>
    <w:rsid w:val="004A5C7E"/>
    <w:rsid w:val="004A7729"/>
    <w:rsid w:val="004B68E8"/>
    <w:rsid w:val="004C34D0"/>
    <w:rsid w:val="004C4177"/>
    <w:rsid w:val="004C6FC6"/>
    <w:rsid w:val="004C76CB"/>
    <w:rsid w:val="004D448F"/>
    <w:rsid w:val="004D6A25"/>
    <w:rsid w:val="004E3F0A"/>
    <w:rsid w:val="004E4826"/>
    <w:rsid w:val="004F22F3"/>
    <w:rsid w:val="004F4300"/>
    <w:rsid w:val="004F4AA2"/>
    <w:rsid w:val="00502E4F"/>
    <w:rsid w:val="00506074"/>
    <w:rsid w:val="00510CE1"/>
    <w:rsid w:val="00513CB0"/>
    <w:rsid w:val="00517C6F"/>
    <w:rsid w:val="0052078C"/>
    <w:rsid w:val="005208E8"/>
    <w:rsid w:val="005233F4"/>
    <w:rsid w:val="00526BB7"/>
    <w:rsid w:val="005378E3"/>
    <w:rsid w:val="00540FA1"/>
    <w:rsid w:val="00547042"/>
    <w:rsid w:val="005476E7"/>
    <w:rsid w:val="0055002E"/>
    <w:rsid w:val="005510CC"/>
    <w:rsid w:val="00555BCB"/>
    <w:rsid w:val="005575CC"/>
    <w:rsid w:val="00557D96"/>
    <w:rsid w:val="005604A2"/>
    <w:rsid w:val="0056220E"/>
    <w:rsid w:val="005626F2"/>
    <w:rsid w:val="00563FEA"/>
    <w:rsid w:val="00571377"/>
    <w:rsid w:val="00573137"/>
    <w:rsid w:val="005739FD"/>
    <w:rsid w:val="00574DAE"/>
    <w:rsid w:val="00576C11"/>
    <w:rsid w:val="00577B33"/>
    <w:rsid w:val="005823DC"/>
    <w:rsid w:val="00582468"/>
    <w:rsid w:val="005833B5"/>
    <w:rsid w:val="00583BEF"/>
    <w:rsid w:val="0058557B"/>
    <w:rsid w:val="00590AB7"/>
    <w:rsid w:val="00591DF2"/>
    <w:rsid w:val="00593B86"/>
    <w:rsid w:val="00596E26"/>
    <w:rsid w:val="005A4529"/>
    <w:rsid w:val="005A50E8"/>
    <w:rsid w:val="005A5B6B"/>
    <w:rsid w:val="005B20E2"/>
    <w:rsid w:val="005B3D32"/>
    <w:rsid w:val="005B44D1"/>
    <w:rsid w:val="005B4FDE"/>
    <w:rsid w:val="005B5BB3"/>
    <w:rsid w:val="005B5E13"/>
    <w:rsid w:val="005B7790"/>
    <w:rsid w:val="005C40FF"/>
    <w:rsid w:val="005D4516"/>
    <w:rsid w:val="005D545E"/>
    <w:rsid w:val="005D60DD"/>
    <w:rsid w:val="005D7B47"/>
    <w:rsid w:val="005E1E36"/>
    <w:rsid w:val="005F1269"/>
    <w:rsid w:val="005F77B9"/>
    <w:rsid w:val="00601599"/>
    <w:rsid w:val="00605590"/>
    <w:rsid w:val="006060A8"/>
    <w:rsid w:val="00607A65"/>
    <w:rsid w:val="00611B9F"/>
    <w:rsid w:val="00612C08"/>
    <w:rsid w:val="006136E8"/>
    <w:rsid w:val="00614724"/>
    <w:rsid w:val="006148F8"/>
    <w:rsid w:val="006209DF"/>
    <w:rsid w:val="00621606"/>
    <w:rsid w:val="00621E56"/>
    <w:rsid w:val="00622534"/>
    <w:rsid w:val="00623012"/>
    <w:rsid w:val="00623830"/>
    <w:rsid w:val="00623E34"/>
    <w:rsid w:val="00625E68"/>
    <w:rsid w:val="006276C0"/>
    <w:rsid w:val="00630595"/>
    <w:rsid w:val="006309FF"/>
    <w:rsid w:val="00630F44"/>
    <w:rsid w:val="006334DA"/>
    <w:rsid w:val="00633D85"/>
    <w:rsid w:val="00637C37"/>
    <w:rsid w:val="00640316"/>
    <w:rsid w:val="00641ABF"/>
    <w:rsid w:val="00643789"/>
    <w:rsid w:val="00645AED"/>
    <w:rsid w:val="00645E7B"/>
    <w:rsid w:val="006509DB"/>
    <w:rsid w:val="0065157B"/>
    <w:rsid w:val="00652CDE"/>
    <w:rsid w:val="006602EC"/>
    <w:rsid w:val="00667507"/>
    <w:rsid w:val="0067011F"/>
    <w:rsid w:val="00671A07"/>
    <w:rsid w:val="006725BA"/>
    <w:rsid w:val="00672758"/>
    <w:rsid w:val="00675F2F"/>
    <w:rsid w:val="00681DA0"/>
    <w:rsid w:val="006830F7"/>
    <w:rsid w:val="00691FE1"/>
    <w:rsid w:val="0069482D"/>
    <w:rsid w:val="006A2B27"/>
    <w:rsid w:val="006A627A"/>
    <w:rsid w:val="006A7171"/>
    <w:rsid w:val="006A7DCA"/>
    <w:rsid w:val="006B40E1"/>
    <w:rsid w:val="006C7FF9"/>
    <w:rsid w:val="006D0942"/>
    <w:rsid w:val="006D3CC1"/>
    <w:rsid w:val="006D616A"/>
    <w:rsid w:val="006E1F5B"/>
    <w:rsid w:val="006E741D"/>
    <w:rsid w:val="0070265C"/>
    <w:rsid w:val="007026B4"/>
    <w:rsid w:val="00705F07"/>
    <w:rsid w:val="00711F0A"/>
    <w:rsid w:val="00712DF8"/>
    <w:rsid w:val="00714A9F"/>
    <w:rsid w:val="00717632"/>
    <w:rsid w:val="00717A33"/>
    <w:rsid w:val="00717EF5"/>
    <w:rsid w:val="007274FF"/>
    <w:rsid w:val="00730971"/>
    <w:rsid w:val="00731DB3"/>
    <w:rsid w:val="00734616"/>
    <w:rsid w:val="007348E0"/>
    <w:rsid w:val="007512F9"/>
    <w:rsid w:val="007518E0"/>
    <w:rsid w:val="007524E3"/>
    <w:rsid w:val="00753666"/>
    <w:rsid w:val="0075601F"/>
    <w:rsid w:val="00761149"/>
    <w:rsid w:val="007630A9"/>
    <w:rsid w:val="0076378C"/>
    <w:rsid w:val="00763EDD"/>
    <w:rsid w:val="0076442F"/>
    <w:rsid w:val="00765A98"/>
    <w:rsid w:val="00770EF2"/>
    <w:rsid w:val="00772391"/>
    <w:rsid w:val="007741E2"/>
    <w:rsid w:val="00775871"/>
    <w:rsid w:val="00780B03"/>
    <w:rsid w:val="007835B4"/>
    <w:rsid w:val="0078406B"/>
    <w:rsid w:val="00784EA4"/>
    <w:rsid w:val="00785358"/>
    <w:rsid w:val="007858F7"/>
    <w:rsid w:val="0079196A"/>
    <w:rsid w:val="00795ECF"/>
    <w:rsid w:val="007975DD"/>
    <w:rsid w:val="007A1E37"/>
    <w:rsid w:val="007A479B"/>
    <w:rsid w:val="007A53DC"/>
    <w:rsid w:val="007A5715"/>
    <w:rsid w:val="007A6221"/>
    <w:rsid w:val="007A7620"/>
    <w:rsid w:val="007B03D0"/>
    <w:rsid w:val="007B2C36"/>
    <w:rsid w:val="007B3CF5"/>
    <w:rsid w:val="007B665B"/>
    <w:rsid w:val="007B6DDA"/>
    <w:rsid w:val="007C1E6B"/>
    <w:rsid w:val="007C2126"/>
    <w:rsid w:val="007C4E41"/>
    <w:rsid w:val="007C5480"/>
    <w:rsid w:val="007C7CAC"/>
    <w:rsid w:val="007D6580"/>
    <w:rsid w:val="007E03DA"/>
    <w:rsid w:val="007E33EA"/>
    <w:rsid w:val="007F1F6E"/>
    <w:rsid w:val="007F22BE"/>
    <w:rsid w:val="007F22C7"/>
    <w:rsid w:val="007F4A64"/>
    <w:rsid w:val="007F7721"/>
    <w:rsid w:val="008016C4"/>
    <w:rsid w:val="00801CE5"/>
    <w:rsid w:val="00806E6F"/>
    <w:rsid w:val="0080757D"/>
    <w:rsid w:val="00807BCE"/>
    <w:rsid w:val="0081008D"/>
    <w:rsid w:val="00810E67"/>
    <w:rsid w:val="00822EDB"/>
    <w:rsid w:val="00824460"/>
    <w:rsid w:val="00825F85"/>
    <w:rsid w:val="008268E4"/>
    <w:rsid w:val="008276B2"/>
    <w:rsid w:val="00841291"/>
    <w:rsid w:val="008456CD"/>
    <w:rsid w:val="00846B3A"/>
    <w:rsid w:val="0085150E"/>
    <w:rsid w:val="008518C6"/>
    <w:rsid w:val="00852F77"/>
    <w:rsid w:val="00855785"/>
    <w:rsid w:val="00855980"/>
    <w:rsid w:val="00857007"/>
    <w:rsid w:val="00857841"/>
    <w:rsid w:val="00861E6E"/>
    <w:rsid w:val="00864211"/>
    <w:rsid w:val="00870B8D"/>
    <w:rsid w:val="00872660"/>
    <w:rsid w:val="008755F1"/>
    <w:rsid w:val="0087641B"/>
    <w:rsid w:val="00882EC0"/>
    <w:rsid w:val="00883C23"/>
    <w:rsid w:val="00884C50"/>
    <w:rsid w:val="0088577B"/>
    <w:rsid w:val="00893D90"/>
    <w:rsid w:val="008944B9"/>
    <w:rsid w:val="008974E3"/>
    <w:rsid w:val="008A247B"/>
    <w:rsid w:val="008A61F3"/>
    <w:rsid w:val="008A65D6"/>
    <w:rsid w:val="008B3733"/>
    <w:rsid w:val="008B5CEC"/>
    <w:rsid w:val="008B5CFB"/>
    <w:rsid w:val="008B76CA"/>
    <w:rsid w:val="008C0516"/>
    <w:rsid w:val="008C43D7"/>
    <w:rsid w:val="008C536A"/>
    <w:rsid w:val="008C540F"/>
    <w:rsid w:val="008C5C61"/>
    <w:rsid w:val="008C61AD"/>
    <w:rsid w:val="008D0EAE"/>
    <w:rsid w:val="008D27F6"/>
    <w:rsid w:val="008D63AD"/>
    <w:rsid w:val="008D6711"/>
    <w:rsid w:val="008D6D63"/>
    <w:rsid w:val="008D7D20"/>
    <w:rsid w:val="008E1981"/>
    <w:rsid w:val="008E1D53"/>
    <w:rsid w:val="008E382D"/>
    <w:rsid w:val="008E4954"/>
    <w:rsid w:val="008E4987"/>
    <w:rsid w:val="008F00A6"/>
    <w:rsid w:val="008F1A26"/>
    <w:rsid w:val="008F33B7"/>
    <w:rsid w:val="008F3B0F"/>
    <w:rsid w:val="008F571B"/>
    <w:rsid w:val="008F7AE6"/>
    <w:rsid w:val="009019D1"/>
    <w:rsid w:val="00901B11"/>
    <w:rsid w:val="00902EE3"/>
    <w:rsid w:val="00913BAA"/>
    <w:rsid w:val="0091470D"/>
    <w:rsid w:val="00916436"/>
    <w:rsid w:val="00917DB0"/>
    <w:rsid w:val="0092159C"/>
    <w:rsid w:val="00926259"/>
    <w:rsid w:val="009277B2"/>
    <w:rsid w:val="0093018F"/>
    <w:rsid w:val="00936771"/>
    <w:rsid w:val="009373F1"/>
    <w:rsid w:val="00946104"/>
    <w:rsid w:val="0095265B"/>
    <w:rsid w:val="00954668"/>
    <w:rsid w:val="00954EC5"/>
    <w:rsid w:val="009561F1"/>
    <w:rsid w:val="009569E2"/>
    <w:rsid w:val="009614A1"/>
    <w:rsid w:val="00962980"/>
    <w:rsid w:val="00967820"/>
    <w:rsid w:val="00970CC4"/>
    <w:rsid w:val="00972DDA"/>
    <w:rsid w:val="009731ED"/>
    <w:rsid w:val="009751CF"/>
    <w:rsid w:val="00976804"/>
    <w:rsid w:val="00980E60"/>
    <w:rsid w:val="00982B51"/>
    <w:rsid w:val="009856D1"/>
    <w:rsid w:val="00990E49"/>
    <w:rsid w:val="00992DEF"/>
    <w:rsid w:val="0099543B"/>
    <w:rsid w:val="0099703B"/>
    <w:rsid w:val="00997F8B"/>
    <w:rsid w:val="009A2B5D"/>
    <w:rsid w:val="009A59FD"/>
    <w:rsid w:val="009B0ED8"/>
    <w:rsid w:val="009B38AF"/>
    <w:rsid w:val="009B6A1B"/>
    <w:rsid w:val="009C2710"/>
    <w:rsid w:val="009C62C8"/>
    <w:rsid w:val="009D2622"/>
    <w:rsid w:val="009D355F"/>
    <w:rsid w:val="009D39F2"/>
    <w:rsid w:val="009D77F1"/>
    <w:rsid w:val="009E0048"/>
    <w:rsid w:val="009E0094"/>
    <w:rsid w:val="009E3DEC"/>
    <w:rsid w:val="009F6714"/>
    <w:rsid w:val="00A004F9"/>
    <w:rsid w:val="00A055C7"/>
    <w:rsid w:val="00A0751A"/>
    <w:rsid w:val="00A1265E"/>
    <w:rsid w:val="00A17819"/>
    <w:rsid w:val="00A20537"/>
    <w:rsid w:val="00A236D0"/>
    <w:rsid w:val="00A2553A"/>
    <w:rsid w:val="00A26235"/>
    <w:rsid w:val="00A276FA"/>
    <w:rsid w:val="00A27C72"/>
    <w:rsid w:val="00A30AB0"/>
    <w:rsid w:val="00A31A10"/>
    <w:rsid w:val="00A31FCB"/>
    <w:rsid w:val="00A32542"/>
    <w:rsid w:val="00A32EEC"/>
    <w:rsid w:val="00A33845"/>
    <w:rsid w:val="00A40B24"/>
    <w:rsid w:val="00A41472"/>
    <w:rsid w:val="00A438F7"/>
    <w:rsid w:val="00A45A7E"/>
    <w:rsid w:val="00A544A0"/>
    <w:rsid w:val="00A54AFD"/>
    <w:rsid w:val="00A613F1"/>
    <w:rsid w:val="00A61B1F"/>
    <w:rsid w:val="00A620DD"/>
    <w:rsid w:val="00A64D3C"/>
    <w:rsid w:val="00A6550A"/>
    <w:rsid w:val="00A711BF"/>
    <w:rsid w:val="00A71AE1"/>
    <w:rsid w:val="00A726D2"/>
    <w:rsid w:val="00A72C69"/>
    <w:rsid w:val="00A75760"/>
    <w:rsid w:val="00A777CA"/>
    <w:rsid w:val="00A87A08"/>
    <w:rsid w:val="00A93893"/>
    <w:rsid w:val="00A93F51"/>
    <w:rsid w:val="00A94906"/>
    <w:rsid w:val="00AA290B"/>
    <w:rsid w:val="00AA67BD"/>
    <w:rsid w:val="00AB028D"/>
    <w:rsid w:val="00AB7017"/>
    <w:rsid w:val="00AC0548"/>
    <w:rsid w:val="00AC3C3B"/>
    <w:rsid w:val="00AC5F0C"/>
    <w:rsid w:val="00AC6E80"/>
    <w:rsid w:val="00AC78D9"/>
    <w:rsid w:val="00AD2B67"/>
    <w:rsid w:val="00AD5170"/>
    <w:rsid w:val="00AD5826"/>
    <w:rsid w:val="00AD7C1D"/>
    <w:rsid w:val="00AE451C"/>
    <w:rsid w:val="00AE539E"/>
    <w:rsid w:val="00AE6E22"/>
    <w:rsid w:val="00AE6E9D"/>
    <w:rsid w:val="00AE7892"/>
    <w:rsid w:val="00AE7DCF"/>
    <w:rsid w:val="00AF11C4"/>
    <w:rsid w:val="00B053BC"/>
    <w:rsid w:val="00B071DA"/>
    <w:rsid w:val="00B07362"/>
    <w:rsid w:val="00B147D7"/>
    <w:rsid w:val="00B14DBC"/>
    <w:rsid w:val="00B150EB"/>
    <w:rsid w:val="00B1555C"/>
    <w:rsid w:val="00B15E2F"/>
    <w:rsid w:val="00B16888"/>
    <w:rsid w:val="00B25BD4"/>
    <w:rsid w:val="00B26E6A"/>
    <w:rsid w:val="00B274F3"/>
    <w:rsid w:val="00B304EC"/>
    <w:rsid w:val="00B30B7A"/>
    <w:rsid w:val="00B324DC"/>
    <w:rsid w:val="00B34F0E"/>
    <w:rsid w:val="00B35241"/>
    <w:rsid w:val="00B35D9C"/>
    <w:rsid w:val="00B35FC8"/>
    <w:rsid w:val="00B3734E"/>
    <w:rsid w:val="00B51911"/>
    <w:rsid w:val="00B52DD5"/>
    <w:rsid w:val="00B53BFF"/>
    <w:rsid w:val="00B545BD"/>
    <w:rsid w:val="00B636EA"/>
    <w:rsid w:val="00B648E6"/>
    <w:rsid w:val="00B653BB"/>
    <w:rsid w:val="00B6595E"/>
    <w:rsid w:val="00B80A7D"/>
    <w:rsid w:val="00B86265"/>
    <w:rsid w:val="00B91805"/>
    <w:rsid w:val="00B91A91"/>
    <w:rsid w:val="00B9349E"/>
    <w:rsid w:val="00B93655"/>
    <w:rsid w:val="00B955E9"/>
    <w:rsid w:val="00B95604"/>
    <w:rsid w:val="00B97D99"/>
    <w:rsid w:val="00BA1EAB"/>
    <w:rsid w:val="00BA4456"/>
    <w:rsid w:val="00BA7245"/>
    <w:rsid w:val="00BA73B2"/>
    <w:rsid w:val="00BB24D5"/>
    <w:rsid w:val="00BB4636"/>
    <w:rsid w:val="00BB5726"/>
    <w:rsid w:val="00BB6B7D"/>
    <w:rsid w:val="00BC2B05"/>
    <w:rsid w:val="00BC4498"/>
    <w:rsid w:val="00BC4C29"/>
    <w:rsid w:val="00BD00B1"/>
    <w:rsid w:val="00BD01E6"/>
    <w:rsid w:val="00BD0692"/>
    <w:rsid w:val="00BD0694"/>
    <w:rsid w:val="00BD43DE"/>
    <w:rsid w:val="00BD5736"/>
    <w:rsid w:val="00BD7BD9"/>
    <w:rsid w:val="00BE6249"/>
    <w:rsid w:val="00BE7AEB"/>
    <w:rsid w:val="00BF2065"/>
    <w:rsid w:val="00BF6BA5"/>
    <w:rsid w:val="00C06DC3"/>
    <w:rsid w:val="00C1018A"/>
    <w:rsid w:val="00C12DD4"/>
    <w:rsid w:val="00C13834"/>
    <w:rsid w:val="00C1422F"/>
    <w:rsid w:val="00C20278"/>
    <w:rsid w:val="00C202BA"/>
    <w:rsid w:val="00C212F7"/>
    <w:rsid w:val="00C278C7"/>
    <w:rsid w:val="00C368FC"/>
    <w:rsid w:val="00C4200D"/>
    <w:rsid w:val="00C42441"/>
    <w:rsid w:val="00C45129"/>
    <w:rsid w:val="00C46B69"/>
    <w:rsid w:val="00C47C6B"/>
    <w:rsid w:val="00C47CB2"/>
    <w:rsid w:val="00C51BAC"/>
    <w:rsid w:val="00C56112"/>
    <w:rsid w:val="00C61EB3"/>
    <w:rsid w:val="00C62410"/>
    <w:rsid w:val="00C62CE5"/>
    <w:rsid w:val="00C666EE"/>
    <w:rsid w:val="00C714E7"/>
    <w:rsid w:val="00C719FA"/>
    <w:rsid w:val="00C77F5A"/>
    <w:rsid w:val="00C828BB"/>
    <w:rsid w:val="00C87333"/>
    <w:rsid w:val="00C87F67"/>
    <w:rsid w:val="00CA2913"/>
    <w:rsid w:val="00CA69BC"/>
    <w:rsid w:val="00CB0A40"/>
    <w:rsid w:val="00CB0AD2"/>
    <w:rsid w:val="00CB10E8"/>
    <w:rsid w:val="00CB1187"/>
    <w:rsid w:val="00CB3FE4"/>
    <w:rsid w:val="00CB5121"/>
    <w:rsid w:val="00CC7024"/>
    <w:rsid w:val="00CD2B26"/>
    <w:rsid w:val="00CD33AC"/>
    <w:rsid w:val="00CD3EA7"/>
    <w:rsid w:val="00CD437F"/>
    <w:rsid w:val="00CD66A8"/>
    <w:rsid w:val="00CE04EC"/>
    <w:rsid w:val="00CE11B2"/>
    <w:rsid w:val="00CE35AA"/>
    <w:rsid w:val="00CE4B83"/>
    <w:rsid w:val="00CE6936"/>
    <w:rsid w:val="00CE6ECE"/>
    <w:rsid w:val="00CE6F36"/>
    <w:rsid w:val="00CF10CF"/>
    <w:rsid w:val="00CF2050"/>
    <w:rsid w:val="00CF230E"/>
    <w:rsid w:val="00CF2454"/>
    <w:rsid w:val="00CF3A5C"/>
    <w:rsid w:val="00CF6E6D"/>
    <w:rsid w:val="00CF6E77"/>
    <w:rsid w:val="00CF701C"/>
    <w:rsid w:val="00D00356"/>
    <w:rsid w:val="00D0381E"/>
    <w:rsid w:val="00D06E54"/>
    <w:rsid w:val="00D07925"/>
    <w:rsid w:val="00D128F2"/>
    <w:rsid w:val="00D16D70"/>
    <w:rsid w:val="00D17676"/>
    <w:rsid w:val="00D20E86"/>
    <w:rsid w:val="00D220AE"/>
    <w:rsid w:val="00D23FE8"/>
    <w:rsid w:val="00D31D7E"/>
    <w:rsid w:val="00D40CC1"/>
    <w:rsid w:val="00D415B0"/>
    <w:rsid w:val="00D439C1"/>
    <w:rsid w:val="00D45240"/>
    <w:rsid w:val="00D458FD"/>
    <w:rsid w:val="00D46DB5"/>
    <w:rsid w:val="00D53156"/>
    <w:rsid w:val="00D555ED"/>
    <w:rsid w:val="00D6098F"/>
    <w:rsid w:val="00D643C7"/>
    <w:rsid w:val="00D65B4A"/>
    <w:rsid w:val="00D72803"/>
    <w:rsid w:val="00D73709"/>
    <w:rsid w:val="00D752AE"/>
    <w:rsid w:val="00D77611"/>
    <w:rsid w:val="00D826FD"/>
    <w:rsid w:val="00D82CEA"/>
    <w:rsid w:val="00D836CB"/>
    <w:rsid w:val="00D83E29"/>
    <w:rsid w:val="00D862FB"/>
    <w:rsid w:val="00D86831"/>
    <w:rsid w:val="00D86DDF"/>
    <w:rsid w:val="00D870D2"/>
    <w:rsid w:val="00D90B5F"/>
    <w:rsid w:val="00D93531"/>
    <w:rsid w:val="00D977BD"/>
    <w:rsid w:val="00DA0A90"/>
    <w:rsid w:val="00DA12D1"/>
    <w:rsid w:val="00DA2814"/>
    <w:rsid w:val="00DA2EF1"/>
    <w:rsid w:val="00DA4383"/>
    <w:rsid w:val="00DB0548"/>
    <w:rsid w:val="00DB3C1B"/>
    <w:rsid w:val="00DB403B"/>
    <w:rsid w:val="00DB4C80"/>
    <w:rsid w:val="00DC04EC"/>
    <w:rsid w:val="00DC2EAE"/>
    <w:rsid w:val="00DD0736"/>
    <w:rsid w:val="00DD1EF0"/>
    <w:rsid w:val="00DE0591"/>
    <w:rsid w:val="00DE21EE"/>
    <w:rsid w:val="00DE234E"/>
    <w:rsid w:val="00DE3CD8"/>
    <w:rsid w:val="00DE665E"/>
    <w:rsid w:val="00DE7773"/>
    <w:rsid w:val="00DF13D4"/>
    <w:rsid w:val="00E04AF7"/>
    <w:rsid w:val="00E0560D"/>
    <w:rsid w:val="00E06C2B"/>
    <w:rsid w:val="00E104AF"/>
    <w:rsid w:val="00E1098C"/>
    <w:rsid w:val="00E12CB3"/>
    <w:rsid w:val="00E1399B"/>
    <w:rsid w:val="00E211F6"/>
    <w:rsid w:val="00E22695"/>
    <w:rsid w:val="00E227E0"/>
    <w:rsid w:val="00E2294F"/>
    <w:rsid w:val="00E2593C"/>
    <w:rsid w:val="00E30C71"/>
    <w:rsid w:val="00E36901"/>
    <w:rsid w:val="00E37779"/>
    <w:rsid w:val="00E42899"/>
    <w:rsid w:val="00E45314"/>
    <w:rsid w:val="00E556F0"/>
    <w:rsid w:val="00E6047E"/>
    <w:rsid w:val="00E66DFC"/>
    <w:rsid w:val="00E671A3"/>
    <w:rsid w:val="00E67B88"/>
    <w:rsid w:val="00E7082E"/>
    <w:rsid w:val="00E710DE"/>
    <w:rsid w:val="00E73B64"/>
    <w:rsid w:val="00E75727"/>
    <w:rsid w:val="00E804D5"/>
    <w:rsid w:val="00E814C8"/>
    <w:rsid w:val="00E83243"/>
    <w:rsid w:val="00E842BD"/>
    <w:rsid w:val="00E87126"/>
    <w:rsid w:val="00E87F1D"/>
    <w:rsid w:val="00E93F24"/>
    <w:rsid w:val="00E94125"/>
    <w:rsid w:val="00E94B24"/>
    <w:rsid w:val="00E94C59"/>
    <w:rsid w:val="00E95667"/>
    <w:rsid w:val="00E95783"/>
    <w:rsid w:val="00E96B73"/>
    <w:rsid w:val="00EA1AF1"/>
    <w:rsid w:val="00EA1E48"/>
    <w:rsid w:val="00EA2EBB"/>
    <w:rsid w:val="00EA3313"/>
    <w:rsid w:val="00EA33B8"/>
    <w:rsid w:val="00EA3490"/>
    <w:rsid w:val="00EA41F3"/>
    <w:rsid w:val="00EB1FA7"/>
    <w:rsid w:val="00EB3C28"/>
    <w:rsid w:val="00EB434D"/>
    <w:rsid w:val="00EB69ED"/>
    <w:rsid w:val="00EC2255"/>
    <w:rsid w:val="00EC4364"/>
    <w:rsid w:val="00EC55C6"/>
    <w:rsid w:val="00ED1483"/>
    <w:rsid w:val="00ED15C1"/>
    <w:rsid w:val="00ED6438"/>
    <w:rsid w:val="00EE09AC"/>
    <w:rsid w:val="00EE10AB"/>
    <w:rsid w:val="00EE435D"/>
    <w:rsid w:val="00EE59E2"/>
    <w:rsid w:val="00EF1E1B"/>
    <w:rsid w:val="00EF2612"/>
    <w:rsid w:val="00EF40D7"/>
    <w:rsid w:val="00EF4E4E"/>
    <w:rsid w:val="00F02017"/>
    <w:rsid w:val="00F030BF"/>
    <w:rsid w:val="00F03B5D"/>
    <w:rsid w:val="00F04566"/>
    <w:rsid w:val="00F10BC1"/>
    <w:rsid w:val="00F12B6E"/>
    <w:rsid w:val="00F157D9"/>
    <w:rsid w:val="00F174B0"/>
    <w:rsid w:val="00F2027B"/>
    <w:rsid w:val="00F22BB6"/>
    <w:rsid w:val="00F22D2C"/>
    <w:rsid w:val="00F30067"/>
    <w:rsid w:val="00F309EC"/>
    <w:rsid w:val="00F31BEF"/>
    <w:rsid w:val="00F34AE1"/>
    <w:rsid w:val="00F429A7"/>
    <w:rsid w:val="00F46099"/>
    <w:rsid w:val="00F515D8"/>
    <w:rsid w:val="00F52973"/>
    <w:rsid w:val="00F54689"/>
    <w:rsid w:val="00F54AFE"/>
    <w:rsid w:val="00F54DD5"/>
    <w:rsid w:val="00F55B0D"/>
    <w:rsid w:val="00F57692"/>
    <w:rsid w:val="00F5782B"/>
    <w:rsid w:val="00F605F0"/>
    <w:rsid w:val="00F62597"/>
    <w:rsid w:val="00F6328A"/>
    <w:rsid w:val="00F66B61"/>
    <w:rsid w:val="00F7033D"/>
    <w:rsid w:val="00F703DB"/>
    <w:rsid w:val="00F7308E"/>
    <w:rsid w:val="00F74DC4"/>
    <w:rsid w:val="00F769E1"/>
    <w:rsid w:val="00F76F35"/>
    <w:rsid w:val="00F774AB"/>
    <w:rsid w:val="00F85923"/>
    <w:rsid w:val="00F87081"/>
    <w:rsid w:val="00F875D3"/>
    <w:rsid w:val="00F95C1C"/>
    <w:rsid w:val="00F960A6"/>
    <w:rsid w:val="00F967FA"/>
    <w:rsid w:val="00FA2273"/>
    <w:rsid w:val="00FA2B32"/>
    <w:rsid w:val="00FA329A"/>
    <w:rsid w:val="00FB1596"/>
    <w:rsid w:val="00FB1AEB"/>
    <w:rsid w:val="00FC79DB"/>
    <w:rsid w:val="00FD55C0"/>
    <w:rsid w:val="00FE177B"/>
    <w:rsid w:val="00FE2161"/>
    <w:rsid w:val="00FE2F0A"/>
    <w:rsid w:val="00FE4C0D"/>
    <w:rsid w:val="00FE5AB9"/>
    <w:rsid w:val="00FE5BED"/>
    <w:rsid w:val="00FF231E"/>
    <w:rsid w:val="00FF3AAD"/>
    <w:rsid w:val="00FF3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76C0"/>
    <w:pPr>
      <w:spacing w:before="150" w:after="150" w:line="510" w:lineRule="atLeast"/>
      <w:outlineLvl w:val="1"/>
    </w:pPr>
    <w:rPr>
      <w:rFonts w:ascii="Transport Heavy" w:eastAsia="Times New Roman" w:hAnsi="Transport Heavy" w:cs="Times New Roman"/>
      <w:sz w:val="41"/>
      <w:szCs w:val="41"/>
      <w:lang w:eastAsia="en-GB"/>
    </w:rPr>
  </w:style>
  <w:style w:type="paragraph" w:styleId="Heading4">
    <w:name w:val="heading 4"/>
    <w:basedOn w:val="Normal"/>
    <w:link w:val="Heading4Char"/>
    <w:uiPriority w:val="9"/>
    <w:qFormat/>
    <w:rsid w:val="006276C0"/>
    <w:pPr>
      <w:spacing w:before="150" w:after="150" w:line="300" w:lineRule="atLeast"/>
      <w:outlineLvl w:val="3"/>
    </w:pPr>
    <w:rPr>
      <w:rFonts w:ascii="Transport Heavy" w:eastAsia="Times New Roman" w:hAnsi="Transport Heavy" w:cs="Times New Roman"/>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6C0"/>
    <w:rPr>
      <w:rFonts w:ascii="Transport Heavy" w:eastAsia="Times New Roman" w:hAnsi="Transport Heavy" w:cs="Times New Roman"/>
      <w:sz w:val="41"/>
      <w:szCs w:val="41"/>
      <w:lang w:eastAsia="en-GB"/>
    </w:rPr>
  </w:style>
  <w:style w:type="character" w:customStyle="1" w:styleId="Heading4Char">
    <w:name w:val="Heading 4 Char"/>
    <w:basedOn w:val="DefaultParagraphFont"/>
    <w:link w:val="Heading4"/>
    <w:uiPriority w:val="9"/>
    <w:rsid w:val="006276C0"/>
    <w:rPr>
      <w:rFonts w:ascii="Transport Heavy" w:eastAsia="Times New Roman" w:hAnsi="Transport Heavy" w:cs="Times New Roman"/>
      <w:sz w:val="26"/>
      <w:szCs w:val="26"/>
      <w:lang w:eastAsia="en-GB"/>
    </w:rPr>
  </w:style>
  <w:style w:type="character" w:styleId="Hyperlink">
    <w:name w:val="Hyperlink"/>
    <w:basedOn w:val="DefaultParagraphFont"/>
    <w:uiPriority w:val="99"/>
    <w:semiHidden/>
    <w:unhideWhenUsed/>
    <w:rsid w:val="006276C0"/>
    <w:rPr>
      <w:strike w:val="0"/>
      <w:dstrike w:val="0"/>
      <w:color w:val="2B8FA1"/>
      <w:u w:val="none"/>
      <w:effect w:val="none"/>
    </w:rPr>
  </w:style>
  <w:style w:type="paragraph" w:styleId="NormalWeb">
    <w:name w:val="Normal (Web)"/>
    <w:basedOn w:val="Normal"/>
    <w:uiPriority w:val="99"/>
    <w:semiHidden/>
    <w:unhideWhenUsed/>
    <w:rsid w:val="006276C0"/>
    <w:pPr>
      <w:spacing w:before="180" w:after="180" w:line="240" w:lineRule="auto"/>
    </w:pPr>
    <w:rPr>
      <w:rFonts w:ascii="Times New Roman" w:eastAsia="Times New Roman" w:hAnsi="Times New Roman" w:cs="Times New Roman"/>
      <w:sz w:val="24"/>
      <w:szCs w:val="24"/>
      <w:lang w:eastAsia="en-GB"/>
    </w:rPr>
  </w:style>
  <w:style w:type="paragraph" w:customStyle="1" w:styleId="Default">
    <w:name w:val="Default"/>
    <w:rsid w:val="00DE234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F571B"/>
    <w:pPr>
      <w:ind w:left="720"/>
      <w:contextualSpacing/>
    </w:pPr>
  </w:style>
  <w:style w:type="paragraph" w:styleId="FootnoteText">
    <w:name w:val="footnote text"/>
    <w:basedOn w:val="Normal"/>
    <w:link w:val="FootnoteTextChar"/>
    <w:uiPriority w:val="99"/>
    <w:semiHidden/>
    <w:unhideWhenUsed/>
    <w:rsid w:val="00937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3F1"/>
    <w:rPr>
      <w:sz w:val="20"/>
      <w:szCs w:val="20"/>
    </w:rPr>
  </w:style>
  <w:style w:type="character" w:styleId="FootnoteReference">
    <w:name w:val="footnote reference"/>
    <w:basedOn w:val="DefaultParagraphFont"/>
    <w:uiPriority w:val="99"/>
    <w:semiHidden/>
    <w:unhideWhenUsed/>
    <w:rsid w:val="009373F1"/>
    <w:rPr>
      <w:vertAlign w:val="superscript"/>
    </w:rPr>
  </w:style>
  <w:style w:type="table" w:styleId="TableGrid">
    <w:name w:val="Table Grid"/>
    <w:basedOn w:val="TableNormal"/>
    <w:uiPriority w:val="59"/>
    <w:rsid w:val="007A5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Default"/>
    <w:next w:val="Default"/>
    <w:uiPriority w:val="99"/>
    <w:rsid w:val="00612C08"/>
    <w:rPr>
      <w:color w:val="auto"/>
    </w:rPr>
  </w:style>
  <w:style w:type="paragraph" w:styleId="Header">
    <w:name w:val="header"/>
    <w:basedOn w:val="Normal"/>
    <w:link w:val="HeaderChar"/>
    <w:uiPriority w:val="99"/>
    <w:unhideWhenUsed/>
    <w:rsid w:val="00E84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2BD"/>
  </w:style>
  <w:style w:type="paragraph" w:styleId="Footer">
    <w:name w:val="footer"/>
    <w:basedOn w:val="Normal"/>
    <w:link w:val="FooterChar"/>
    <w:uiPriority w:val="99"/>
    <w:unhideWhenUsed/>
    <w:rsid w:val="00E84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2BD"/>
  </w:style>
  <w:style w:type="paragraph" w:styleId="BalloonText">
    <w:name w:val="Balloon Text"/>
    <w:basedOn w:val="Normal"/>
    <w:link w:val="BalloonTextChar"/>
    <w:uiPriority w:val="99"/>
    <w:semiHidden/>
    <w:unhideWhenUsed/>
    <w:rsid w:val="00E84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2BD"/>
    <w:rPr>
      <w:rFonts w:ascii="Tahoma" w:hAnsi="Tahoma" w:cs="Tahoma"/>
      <w:sz w:val="16"/>
      <w:szCs w:val="16"/>
    </w:rPr>
  </w:style>
  <w:style w:type="paragraph" w:customStyle="1" w:styleId="CM83">
    <w:name w:val="CM83"/>
    <w:basedOn w:val="Default"/>
    <w:next w:val="Default"/>
    <w:uiPriority w:val="99"/>
    <w:rsid w:val="00ED15C1"/>
    <w:rPr>
      <w:color w:val="auto"/>
    </w:rPr>
  </w:style>
  <w:style w:type="paragraph" w:customStyle="1" w:styleId="CM72">
    <w:name w:val="CM72"/>
    <w:basedOn w:val="Default"/>
    <w:next w:val="Default"/>
    <w:uiPriority w:val="99"/>
    <w:rsid w:val="00ED15C1"/>
    <w:pPr>
      <w:spacing w:line="256" w:lineRule="atLeast"/>
    </w:pPr>
    <w:rPr>
      <w:color w:val="auto"/>
    </w:rPr>
  </w:style>
  <w:style w:type="paragraph" w:customStyle="1" w:styleId="CM66">
    <w:name w:val="CM66"/>
    <w:basedOn w:val="Default"/>
    <w:next w:val="Default"/>
    <w:uiPriority w:val="99"/>
    <w:rsid w:val="00ED15C1"/>
    <w:pPr>
      <w:spacing w:line="256"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76C0"/>
    <w:pPr>
      <w:spacing w:before="150" w:after="150" w:line="510" w:lineRule="atLeast"/>
      <w:outlineLvl w:val="1"/>
    </w:pPr>
    <w:rPr>
      <w:rFonts w:ascii="Transport Heavy" w:eastAsia="Times New Roman" w:hAnsi="Transport Heavy" w:cs="Times New Roman"/>
      <w:sz w:val="41"/>
      <w:szCs w:val="41"/>
      <w:lang w:eastAsia="en-GB"/>
    </w:rPr>
  </w:style>
  <w:style w:type="paragraph" w:styleId="Heading4">
    <w:name w:val="heading 4"/>
    <w:basedOn w:val="Normal"/>
    <w:link w:val="Heading4Char"/>
    <w:uiPriority w:val="9"/>
    <w:qFormat/>
    <w:rsid w:val="006276C0"/>
    <w:pPr>
      <w:spacing w:before="150" w:after="150" w:line="300" w:lineRule="atLeast"/>
      <w:outlineLvl w:val="3"/>
    </w:pPr>
    <w:rPr>
      <w:rFonts w:ascii="Transport Heavy" w:eastAsia="Times New Roman" w:hAnsi="Transport Heavy" w:cs="Times New Roman"/>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6C0"/>
    <w:rPr>
      <w:rFonts w:ascii="Transport Heavy" w:eastAsia="Times New Roman" w:hAnsi="Transport Heavy" w:cs="Times New Roman"/>
      <w:sz w:val="41"/>
      <w:szCs w:val="41"/>
      <w:lang w:eastAsia="en-GB"/>
    </w:rPr>
  </w:style>
  <w:style w:type="character" w:customStyle="1" w:styleId="Heading4Char">
    <w:name w:val="Heading 4 Char"/>
    <w:basedOn w:val="DefaultParagraphFont"/>
    <w:link w:val="Heading4"/>
    <w:uiPriority w:val="9"/>
    <w:rsid w:val="006276C0"/>
    <w:rPr>
      <w:rFonts w:ascii="Transport Heavy" w:eastAsia="Times New Roman" w:hAnsi="Transport Heavy" w:cs="Times New Roman"/>
      <w:sz w:val="26"/>
      <w:szCs w:val="26"/>
      <w:lang w:eastAsia="en-GB"/>
    </w:rPr>
  </w:style>
  <w:style w:type="character" w:styleId="Hyperlink">
    <w:name w:val="Hyperlink"/>
    <w:basedOn w:val="DefaultParagraphFont"/>
    <w:uiPriority w:val="99"/>
    <w:semiHidden/>
    <w:unhideWhenUsed/>
    <w:rsid w:val="006276C0"/>
    <w:rPr>
      <w:strike w:val="0"/>
      <w:dstrike w:val="0"/>
      <w:color w:val="2B8FA1"/>
      <w:u w:val="none"/>
      <w:effect w:val="none"/>
    </w:rPr>
  </w:style>
  <w:style w:type="paragraph" w:styleId="NormalWeb">
    <w:name w:val="Normal (Web)"/>
    <w:basedOn w:val="Normal"/>
    <w:uiPriority w:val="99"/>
    <w:semiHidden/>
    <w:unhideWhenUsed/>
    <w:rsid w:val="006276C0"/>
    <w:pPr>
      <w:spacing w:before="180" w:after="180" w:line="240" w:lineRule="auto"/>
    </w:pPr>
    <w:rPr>
      <w:rFonts w:ascii="Times New Roman" w:eastAsia="Times New Roman" w:hAnsi="Times New Roman" w:cs="Times New Roman"/>
      <w:sz w:val="24"/>
      <w:szCs w:val="24"/>
      <w:lang w:eastAsia="en-GB"/>
    </w:rPr>
  </w:style>
  <w:style w:type="paragraph" w:customStyle="1" w:styleId="Default">
    <w:name w:val="Default"/>
    <w:rsid w:val="00DE234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F571B"/>
    <w:pPr>
      <w:ind w:left="720"/>
      <w:contextualSpacing/>
    </w:pPr>
  </w:style>
  <w:style w:type="paragraph" w:styleId="FootnoteText">
    <w:name w:val="footnote text"/>
    <w:basedOn w:val="Normal"/>
    <w:link w:val="FootnoteTextChar"/>
    <w:uiPriority w:val="99"/>
    <w:semiHidden/>
    <w:unhideWhenUsed/>
    <w:rsid w:val="00937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3F1"/>
    <w:rPr>
      <w:sz w:val="20"/>
      <w:szCs w:val="20"/>
    </w:rPr>
  </w:style>
  <w:style w:type="character" w:styleId="FootnoteReference">
    <w:name w:val="footnote reference"/>
    <w:basedOn w:val="DefaultParagraphFont"/>
    <w:uiPriority w:val="99"/>
    <w:semiHidden/>
    <w:unhideWhenUsed/>
    <w:rsid w:val="009373F1"/>
    <w:rPr>
      <w:vertAlign w:val="superscript"/>
    </w:rPr>
  </w:style>
  <w:style w:type="table" w:styleId="TableGrid">
    <w:name w:val="Table Grid"/>
    <w:basedOn w:val="TableNormal"/>
    <w:uiPriority w:val="59"/>
    <w:rsid w:val="007A5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Default"/>
    <w:next w:val="Default"/>
    <w:uiPriority w:val="99"/>
    <w:rsid w:val="00612C08"/>
    <w:rPr>
      <w:color w:val="auto"/>
    </w:rPr>
  </w:style>
  <w:style w:type="paragraph" w:styleId="Header">
    <w:name w:val="header"/>
    <w:basedOn w:val="Normal"/>
    <w:link w:val="HeaderChar"/>
    <w:uiPriority w:val="99"/>
    <w:unhideWhenUsed/>
    <w:rsid w:val="00E84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2BD"/>
  </w:style>
  <w:style w:type="paragraph" w:styleId="Footer">
    <w:name w:val="footer"/>
    <w:basedOn w:val="Normal"/>
    <w:link w:val="FooterChar"/>
    <w:uiPriority w:val="99"/>
    <w:unhideWhenUsed/>
    <w:rsid w:val="00E84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2BD"/>
  </w:style>
  <w:style w:type="paragraph" w:styleId="BalloonText">
    <w:name w:val="Balloon Text"/>
    <w:basedOn w:val="Normal"/>
    <w:link w:val="BalloonTextChar"/>
    <w:uiPriority w:val="99"/>
    <w:semiHidden/>
    <w:unhideWhenUsed/>
    <w:rsid w:val="00E84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2BD"/>
    <w:rPr>
      <w:rFonts w:ascii="Tahoma" w:hAnsi="Tahoma" w:cs="Tahoma"/>
      <w:sz w:val="16"/>
      <w:szCs w:val="16"/>
    </w:rPr>
  </w:style>
  <w:style w:type="paragraph" w:customStyle="1" w:styleId="CM83">
    <w:name w:val="CM83"/>
    <w:basedOn w:val="Default"/>
    <w:next w:val="Default"/>
    <w:uiPriority w:val="99"/>
    <w:rsid w:val="00ED15C1"/>
    <w:rPr>
      <w:color w:val="auto"/>
    </w:rPr>
  </w:style>
  <w:style w:type="paragraph" w:customStyle="1" w:styleId="CM72">
    <w:name w:val="CM72"/>
    <w:basedOn w:val="Default"/>
    <w:next w:val="Default"/>
    <w:uiPriority w:val="99"/>
    <w:rsid w:val="00ED15C1"/>
    <w:pPr>
      <w:spacing w:line="256" w:lineRule="atLeast"/>
    </w:pPr>
    <w:rPr>
      <w:color w:val="auto"/>
    </w:rPr>
  </w:style>
  <w:style w:type="paragraph" w:customStyle="1" w:styleId="CM66">
    <w:name w:val="CM66"/>
    <w:basedOn w:val="Default"/>
    <w:next w:val="Default"/>
    <w:uiPriority w:val="99"/>
    <w:rsid w:val="00ED15C1"/>
    <w:pPr>
      <w:spacing w:line="25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1360">
      <w:bodyDiv w:val="1"/>
      <w:marLeft w:val="0"/>
      <w:marRight w:val="0"/>
      <w:marTop w:val="0"/>
      <w:marBottom w:val="0"/>
      <w:divBdr>
        <w:top w:val="none" w:sz="0" w:space="0" w:color="auto"/>
        <w:left w:val="none" w:sz="0" w:space="0" w:color="auto"/>
        <w:bottom w:val="none" w:sz="0" w:space="0" w:color="auto"/>
        <w:right w:val="none" w:sz="0" w:space="0" w:color="auto"/>
      </w:divBdr>
      <w:divsChild>
        <w:div w:id="1828470999">
          <w:marLeft w:val="0"/>
          <w:marRight w:val="0"/>
          <w:marTop w:val="0"/>
          <w:marBottom w:val="0"/>
          <w:divBdr>
            <w:top w:val="none" w:sz="0" w:space="0" w:color="auto"/>
            <w:left w:val="none" w:sz="0" w:space="0" w:color="auto"/>
            <w:bottom w:val="none" w:sz="0" w:space="0" w:color="auto"/>
            <w:right w:val="none" w:sz="0" w:space="0" w:color="auto"/>
          </w:divBdr>
          <w:divsChild>
            <w:div w:id="1362702399">
              <w:marLeft w:val="0"/>
              <w:marRight w:val="0"/>
              <w:marTop w:val="0"/>
              <w:marBottom w:val="0"/>
              <w:divBdr>
                <w:top w:val="none" w:sz="0" w:space="0" w:color="auto"/>
                <w:left w:val="none" w:sz="0" w:space="0" w:color="auto"/>
                <w:bottom w:val="none" w:sz="0" w:space="0" w:color="auto"/>
                <w:right w:val="none" w:sz="0" w:space="0" w:color="auto"/>
              </w:divBdr>
              <w:divsChild>
                <w:div w:id="1422488363">
                  <w:marLeft w:val="-300"/>
                  <w:marRight w:val="0"/>
                  <w:marTop w:val="0"/>
                  <w:marBottom w:val="0"/>
                  <w:divBdr>
                    <w:top w:val="none" w:sz="0" w:space="0" w:color="auto"/>
                    <w:left w:val="none" w:sz="0" w:space="0" w:color="auto"/>
                    <w:bottom w:val="none" w:sz="0" w:space="0" w:color="auto"/>
                    <w:right w:val="none" w:sz="0" w:space="0" w:color="auto"/>
                  </w:divBdr>
                  <w:divsChild>
                    <w:div w:id="1452699805">
                      <w:marLeft w:val="0"/>
                      <w:marRight w:val="0"/>
                      <w:marTop w:val="0"/>
                      <w:marBottom w:val="0"/>
                      <w:divBdr>
                        <w:top w:val="none" w:sz="0" w:space="0" w:color="auto"/>
                        <w:left w:val="none" w:sz="0" w:space="0" w:color="auto"/>
                        <w:bottom w:val="none" w:sz="0" w:space="0" w:color="auto"/>
                        <w:right w:val="none" w:sz="0" w:space="0" w:color="auto"/>
                      </w:divBdr>
                      <w:divsChild>
                        <w:div w:id="1222327923">
                          <w:marLeft w:val="0"/>
                          <w:marRight w:val="0"/>
                          <w:marTop w:val="0"/>
                          <w:marBottom w:val="0"/>
                          <w:divBdr>
                            <w:top w:val="none" w:sz="0" w:space="0" w:color="auto"/>
                            <w:left w:val="none" w:sz="0" w:space="0" w:color="auto"/>
                            <w:bottom w:val="none" w:sz="0" w:space="0" w:color="auto"/>
                            <w:right w:val="none" w:sz="0" w:space="0" w:color="auto"/>
                          </w:divBdr>
                          <w:divsChild>
                            <w:div w:id="1480227704">
                              <w:marLeft w:val="0"/>
                              <w:marRight w:val="0"/>
                              <w:marTop w:val="0"/>
                              <w:marBottom w:val="0"/>
                              <w:divBdr>
                                <w:top w:val="none" w:sz="0" w:space="0" w:color="auto"/>
                                <w:left w:val="none" w:sz="0" w:space="0" w:color="auto"/>
                                <w:bottom w:val="none" w:sz="0" w:space="0" w:color="auto"/>
                                <w:right w:val="none" w:sz="0" w:space="0" w:color="auto"/>
                              </w:divBdr>
                              <w:divsChild>
                                <w:div w:id="36902671">
                                  <w:marLeft w:val="0"/>
                                  <w:marRight w:val="0"/>
                                  <w:marTop w:val="0"/>
                                  <w:marBottom w:val="0"/>
                                  <w:divBdr>
                                    <w:top w:val="none" w:sz="0" w:space="0" w:color="auto"/>
                                    <w:left w:val="none" w:sz="0" w:space="0" w:color="auto"/>
                                    <w:bottom w:val="none" w:sz="0" w:space="0" w:color="auto"/>
                                    <w:right w:val="none" w:sz="0" w:space="0" w:color="auto"/>
                                  </w:divBdr>
                                </w:div>
                                <w:div w:id="704058343">
                                  <w:marLeft w:val="0"/>
                                  <w:marRight w:val="0"/>
                                  <w:marTop w:val="0"/>
                                  <w:marBottom w:val="0"/>
                                  <w:divBdr>
                                    <w:top w:val="none" w:sz="0" w:space="0" w:color="auto"/>
                                    <w:left w:val="none" w:sz="0" w:space="0" w:color="auto"/>
                                    <w:bottom w:val="none" w:sz="0" w:space="0" w:color="auto"/>
                                    <w:right w:val="none" w:sz="0" w:space="0" w:color="auto"/>
                                  </w:divBdr>
                                </w:div>
                                <w:div w:id="1126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E44B-59BF-4CFF-A642-22156F85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10</Pages>
  <Words>3408</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Bloxsome</dc:creator>
  <cp:keywords/>
  <dc:description/>
  <cp:lastModifiedBy>Philip</cp:lastModifiedBy>
  <cp:revision>74</cp:revision>
  <dcterms:created xsi:type="dcterms:W3CDTF">2015-05-22T18:05:00Z</dcterms:created>
  <dcterms:modified xsi:type="dcterms:W3CDTF">2015-07-30T11:38:00Z</dcterms:modified>
</cp:coreProperties>
</file>